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Pr="008F4926" w:rsidRDefault="007D461F" w:rsidP="008F4926">
      <w:pPr>
        <w:jc w:val="center"/>
        <w:rPr>
          <w:b/>
          <w:sz w:val="22"/>
          <w:szCs w:val="22"/>
          <w:u w:val="single"/>
        </w:rPr>
      </w:pPr>
      <w:bookmarkStart w:id="0" w:name="_GoBack"/>
      <w:bookmarkEnd w:id="0"/>
      <w:r>
        <w:rPr>
          <w:b/>
          <w:sz w:val="22"/>
          <w:u w:val="single"/>
        </w:rPr>
        <w:t>Общ регламент за групово освобождаване (Регламент № 651/2014) — работен документ</w:t>
      </w:r>
    </w:p>
    <w:p w:rsidR="0012665D" w:rsidRPr="008F4926" w:rsidRDefault="00B843F4" w:rsidP="008F4926">
      <w:pPr>
        <w:jc w:val="center"/>
        <w:rPr>
          <w:sz w:val="22"/>
          <w:szCs w:val="22"/>
        </w:rPr>
      </w:pPr>
      <w:r>
        <w:rPr>
          <w:b/>
          <w:sz w:val="22"/>
          <w:u w:val="single"/>
        </w:rPr>
        <w:t xml:space="preserve">Помощи за отстраняване на щети, причинени от някои природни бедствия  </w:t>
      </w:r>
    </w:p>
    <w:p w:rsidR="007D461F" w:rsidRPr="008F4926" w:rsidRDefault="007D461F" w:rsidP="008F4926">
      <w:pPr>
        <w:rPr>
          <w:sz w:val="22"/>
          <w:szCs w:val="22"/>
        </w:rPr>
      </w:pPr>
      <w:r>
        <w:rPr>
          <w:sz w:val="22"/>
        </w:rPr>
        <w:t>Най-напред следва да бъдат проверени общите условия за прилагането на ОРГО (12 условия/членове 1—12), а след това И условията по отношение на помощите за отстраняване на щети, причинени от някои природни бедствия.</w:t>
      </w:r>
    </w:p>
    <w:p w:rsidR="007D461F" w:rsidRPr="008F4926" w:rsidRDefault="007D461F" w:rsidP="008F4926">
      <w:pPr>
        <w:rPr>
          <w:sz w:val="22"/>
          <w:szCs w:val="22"/>
        </w:rPr>
      </w:pPr>
    </w:p>
    <w:p w:rsidR="007D461F" w:rsidRPr="008F4926" w:rsidRDefault="007D461F" w:rsidP="008F4926">
      <w:pPr>
        <w:jc w:val="center"/>
        <w:rPr>
          <w:b/>
          <w:sz w:val="22"/>
          <w:szCs w:val="22"/>
          <w:u w:val="single"/>
        </w:rPr>
      </w:pPr>
      <w:r>
        <w:rPr>
          <w:b/>
          <w:sz w:val="22"/>
          <w:u w:val="single"/>
        </w:rPr>
        <w:t>А. Общи условия за прилагане</w:t>
      </w:r>
    </w:p>
    <w:p w:rsidR="007D461F" w:rsidRPr="008F4926" w:rsidRDefault="007D461F" w:rsidP="008F4926">
      <w:pPr>
        <w:ind w:left="-360" w:right="-134"/>
        <w:jc w:val="both"/>
        <w:rPr>
          <w:sz w:val="22"/>
          <w:szCs w:val="22"/>
        </w:rPr>
      </w:pPr>
    </w:p>
    <w:p w:rsidR="007D461F" w:rsidRPr="008F4926" w:rsidRDefault="007D461F" w:rsidP="008F4926">
      <w:pPr>
        <w:rPr>
          <w:sz w:val="22"/>
          <w:szCs w:val="22"/>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3"/>
        <w:gridCol w:w="6379"/>
      </w:tblGrid>
      <w:tr w:rsidR="000E10AB" w:rsidRPr="008F4926" w:rsidTr="00895393">
        <w:trPr>
          <w:trHeight w:val="145"/>
        </w:trPr>
        <w:tc>
          <w:tcPr>
            <w:tcW w:w="8233" w:type="dxa"/>
            <w:tcBorders>
              <w:bottom w:val="single" w:sz="4" w:space="0" w:color="auto"/>
            </w:tcBorders>
            <w:shd w:val="clear" w:color="auto" w:fill="333399"/>
          </w:tcPr>
          <w:p w:rsidR="000E10AB" w:rsidRPr="008F4926" w:rsidRDefault="00593387" w:rsidP="008F4926">
            <w:pPr>
              <w:tabs>
                <w:tab w:val="center" w:pos="3549"/>
              </w:tabs>
              <w:ind w:left="360"/>
              <w:rPr>
                <w:b/>
                <w:smallCaps/>
                <w:color w:val="FFFFFF"/>
                <w:sz w:val="22"/>
                <w:szCs w:val="22"/>
              </w:rPr>
            </w:pPr>
            <w:r>
              <w:tab/>
            </w:r>
            <w:r>
              <w:rPr>
                <w:b/>
                <w:smallCaps/>
                <w:color w:val="FFFFFF"/>
                <w:sz w:val="22"/>
              </w:rPr>
              <w:t>Общи условия за съвместимост</w:t>
            </w:r>
          </w:p>
        </w:tc>
        <w:tc>
          <w:tcPr>
            <w:tcW w:w="6379" w:type="dxa"/>
            <w:shd w:val="clear" w:color="auto" w:fill="333399"/>
          </w:tcPr>
          <w:p w:rsidR="000E10AB" w:rsidRPr="008F4926" w:rsidRDefault="000E10AB" w:rsidP="008F4926">
            <w:pPr>
              <w:jc w:val="center"/>
              <w:rPr>
                <w:b/>
                <w:smallCaps/>
                <w:color w:val="FFFFFF"/>
                <w:sz w:val="22"/>
                <w:szCs w:val="22"/>
              </w:rPr>
            </w:pPr>
            <w:r>
              <w:rPr>
                <w:b/>
                <w:smallCaps/>
                <w:color w:val="FFFFFF"/>
                <w:sz w:val="22"/>
              </w:rPr>
              <w:t>Проверка на съответствието (OK?)</w:t>
            </w:r>
          </w:p>
        </w:tc>
      </w:tr>
      <w:tr w:rsidR="000E10AB" w:rsidRPr="008F4926" w:rsidTr="00895393">
        <w:trPr>
          <w:trHeight w:val="145"/>
        </w:trPr>
        <w:tc>
          <w:tcPr>
            <w:tcW w:w="8233" w:type="dxa"/>
            <w:shd w:val="clear" w:color="auto" w:fill="D9D9D9"/>
          </w:tcPr>
          <w:p w:rsidR="000E10AB" w:rsidRPr="008F4926" w:rsidRDefault="000E10AB" w:rsidP="008F4926">
            <w:pPr>
              <w:rPr>
                <w:b/>
                <w:sz w:val="22"/>
                <w:szCs w:val="22"/>
              </w:rPr>
            </w:pPr>
            <w:r>
              <w:rPr>
                <w:b/>
                <w:sz w:val="22"/>
              </w:rPr>
              <w:t>Член 1 — Изключване на някои дейности (параграф 2)</w:t>
            </w:r>
          </w:p>
        </w:tc>
        <w:tc>
          <w:tcPr>
            <w:tcW w:w="6379" w:type="dxa"/>
            <w:vMerge w:val="restart"/>
            <w:shd w:val="clear" w:color="auto" w:fill="auto"/>
          </w:tcPr>
          <w:p w:rsidR="000E10AB" w:rsidRPr="008F4926" w:rsidRDefault="000E10AB" w:rsidP="008F4926">
            <w:pPr>
              <w:rPr>
                <w:sz w:val="22"/>
                <w:szCs w:val="22"/>
              </w:rPr>
            </w:pPr>
          </w:p>
        </w:tc>
      </w:tr>
      <w:tr w:rsidR="000E10AB" w:rsidRPr="008F4926" w:rsidTr="00895393">
        <w:trPr>
          <w:trHeight w:val="145"/>
        </w:trPr>
        <w:tc>
          <w:tcPr>
            <w:tcW w:w="8233" w:type="dxa"/>
            <w:tcBorders>
              <w:bottom w:val="single" w:sz="4" w:space="0" w:color="auto"/>
            </w:tcBorders>
            <w:shd w:val="clear" w:color="auto" w:fill="auto"/>
          </w:tcPr>
          <w:p w:rsidR="000E10AB" w:rsidRPr="008F4926" w:rsidRDefault="000E10AB" w:rsidP="008F4926">
            <w:pPr>
              <w:jc w:val="both"/>
              <w:rPr>
                <w:sz w:val="22"/>
                <w:szCs w:val="22"/>
              </w:rPr>
            </w:pPr>
            <w:r>
              <w:rPr>
                <w:b/>
                <w:sz w:val="22"/>
                <w:u w:val="single"/>
              </w:rPr>
              <w:t>Не</w:t>
            </w:r>
            <w:r>
              <w:rPr>
                <w:sz w:val="22"/>
              </w:rPr>
              <w:t xml:space="preserve"> се прилага за:</w:t>
            </w:r>
          </w:p>
          <w:p w:rsidR="000E10AB" w:rsidRPr="008F4926" w:rsidRDefault="000E10AB" w:rsidP="008F4926">
            <w:pPr>
              <w:numPr>
                <w:ilvl w:val="0"/>
                <w:numId w:val="1"/>
              </w:numPr>
              <w:tabs>
                <w:tab w:val="clear" w:pos="720"/>
                <w:tab w:val="num" w:pos="328"/>
              </w:tabs>
              <w:ind w:left="328" w:hanging="283"/>
              <w:jc w:val="both"/>
              <w:rPr>
                <w:sz w:val="22"/>
                <w:szCs w:val="22"/>
              </w:rPr>
            </w:pPr>
            <w:r>
              <w:rPr>
                <w:sz w:val="22"/>
              </w:rPr>
              <w:t xml:space="preserve">помощи за дейности, свързани с износ; </w:t>
            </w:r>
          </w:p>
          <w:p w:rsidR="000E10AB" w:rsidRPr="008F4926" w:rsidRDefault="000E10AB" w:rsidP="008F4926">
            <w:pPr>
              <w:numPr>
                <w:ilvl w:val="0"/>
                <w:numId w:val="1"/>
              </w:numPr>
              <w:tabs>
                <w:tab w:val="clear" w:pos="720"/>
                <w:tab w:val="num" w:pos="328"/>
              </w:tabs>
              <w:ind w:left="328" w:hanging="283"/>
              <w:jc w:val="both"/>
              <w:rPr>
                <w:sz w:val="22"/>
                <w:szCs w:val="22"/>
              </w:rPr>
            </w:pPr>
            <w:r>
              <w:rPr>
                <w:sz w:val="22"/>
              </w:rPr>
              <w:t>помощи, обвързани с условието за използване на местни за сметка на вносни стоки.</w:t>
            </w:r>
          </w:p>
        </w:tc>
        <w:tc>
          <w:tcPr>
            <w:tcW w:w="6379" w:type="dxa"/>
            <w:vMerge/>
            <w:shd w:val="clear" w:color="auto" w:fill="auto"/>
          </w:tcPr>
          <w:p w:rsidR="000E10AB" w:rsidRPr="008F4926" w:rsidRDefault="000E10AB" w:rsidP="008F4926">
            <w:pPr>
              <w:rPr>
                <w:sz w:val="22"/>
                <w:szCs w:val="22"/>
              </w:rPr>
            </w:pPr>
          </w:p>
        </w:tc>
      </w:tr>
      <w:tr w:rsidR="000E10AB" w:rsidRPr="008F4926" w:rsidTr="00895393">
        <w:trPr>
          <w:trHeight w:val="145"/>
        </w:trPr>
        <w:tc>
          <w:tcPr>
            <w:tcW w:w="8233" w:type="dxa"/>
            <w:shd w:val="clear" w:color="auto" w:fill="D9D9D9"/>
          </w:tcPr>
          <w:p w:rsidR="000E10AB" w:rsidRPr="008F4926" w:rsidRDefault="000E10AB" w:rsidP="008F4926">
            <w:pPr>
              <w:jc w:val="both"/>
              <w:rPr>
                <w:b/>
                <w:sz w:val="22"/>
                <w:szCs w:val="22"/>
              </w:rPr>
            </w:pPr>
            <w:r>
              <w:rPr>
                <w:b/>
                <w:sz w:val="22"/>
              </w:rPr>
              <w:t>Член 1 — Изключване на някои сектори (параграф 3)</w:t>
            </w:r>
          </w:p>
        </w:tc>
        <w:tc>
          <w:tcPr>
            <w:tcW w:w="6379" w:type="dxa"/>
            <w:vMerge w:val="restart"/>
            <w:shd w:val="clear" w:color="auto" w:fill="auto"/>
          </w:tcPr>
          <w:p w:rsidR="000E10AB" w:rsidRPr="008F4926" w:rsidRDefault="000E10AB" w:rsidP="008F4926">
            <w:pPr>
              <w:rPr>
                <w:sz w:val="22"/>
                <w:szCs w:val="22"/>
              </w:rPr>
            </w:pPr>
          </w:p>
        </w:tc>
      </w:tr>
      <w:tr w:rsidR="000E10AB" w:rsidRPr="008F4926" w:rsidTr="00895393">
        <w:trPr>
          <w:trHeight w:val="145"/>
        </w:trPr>
        <w:tc>
          <w:tcPr>
            <w:tcW w:w="8233" w:type="dxa"/>
            <w:tcBorders>
              <w:bottom w:val="single" w:sz="4" w:space="0" w:color="auto"/>
            </w:tcBorders>
            <w:shd w:val="clear" w:color="auto" w:fill="auto"/>
          </w:tcPr>
          <w:p w:rsidR="00C510B9" w:rsidRPr="008F4926" w:rsidRDefault="00C510B9" w:rsidP="008F4926">
            <w:pPr>
              <w:numPr>
                <w:ilvl w:val="0"/>
                <w:numId w:val="2"/>
              </w:numPr>
              <w:tabs>
                <w:tab w:val="clear" w:pos="720"/>
                <w:tab w:val="num" w:pos="328"/>
              </w:tabs>
              <w:ind w:left="328" w:hanging="283"/>
              <w:jc w:val="both"/>
              <w:rPr>
                <w:color w:val="FF0000"/>
                <w:sz w:val="22"/>
                <w:szCs w:val="22"/>
              </w:rPr>
            </w:pPr>
            <w:r>
              <w:rPr>
                <w:sz w:val="22"/>
              </w:rPr>
              <w:t xml:space="preserve">Риболов и аквакултури* (съгласно Регламент (ЕС) № 1379/2013); </w:t>
            </w:r>
          </w:p>
          <w:p w:rsidR="00C510B9" w:rsidRPr="008F4926" w:rsidRDefault="00C510B9" w:rsidP="008F4926">
            <w:pPr>
              <w:numPr>
                <w:ilvl w:val="0"/>
                <w:numId w:val="2"/>
              </w:numPr>
              <w:tabs>
                <w:tab w:val="clear" w:pos="720"/>
                <w:tab w:val="num" w:pos="328"/>
              </w:tabs>
              <w:ind w:left="328" w:hanging="283"/>
              <w:rPr>
                <w:sz w:val="22"/>
                <w:szCs w:val="22"/>
              </w:rPr>
            </w:pPr>
            <w:r>
              <w:rPr>
                <w:sz w:val="22"/>
              </w:rPr>
              <w:t xml:space="preserve">Първично производство на селскостопански продукти*; </w:t>
            </w:r>
          </w:p>
          <w:p w:rsidR="00C510B9" w:rsidRPr="008F4926" w:rsidRDefault="00C510B9" w:rsidP="008F4926">
            <w:pPr>
              <w:numPr>
                <w:ilvl w:val="0"/>
                <w:numId w:val="2"/>
              </w:numPr>
              <w:tabs>
                <w:tab w:val="clear" w:pos="720"/>
                <w:tab w:val="num" w:pos="328"/>
              </w:tabs>
              <w:autoSpaceDE w:val="0"/>
              <w:autoSpaceDN w:val="0"/>
              <w:adjustRightInd w:val="0"/>
              <w:ind w:left="328" w:hanging="283"/>
              <w:jc w:val="both"/>
              <w:rPr>
                <w:color w:val="FF0000"/>
                <w:sz w:val="22"/>
                <w:szCs w:val="22"/>
              </w:rPr>
            </w:pPr>
            <w:r>
              <w:rPr>
                <w:sz w:val="22"/>
              </w:rPr>
              <w:t xml:space="preserve">Преработка и продажба на селскостопански продукти*, </w:t>
            </w:r>
            <w:r>
              <w:rPr>
                <w:color w:val="FF0000"/>
                <w:sz w:val="22"/>
              </w:rPr>
              <w:t>ако размерът на помощта е определен въз основа на цената или количеството на такива продукти, закупени от първични производители или предлагани на пазара от съответните предприятия</w:t>
            </w:r>
            <w:r>
              <w:rPr>
                <w:sz w:val="22"/>
              </w:rPr>
              <w:t>;</w:t>
            </w:r>
            <w:r>
              <w:rPr>
                <w:color w:val="FF0000"/>
                <w:sz w:val="22"/>
              </w:rPr>
              <w:t xml:space="preserve"> или когато помощта е обвързана със задължението да бъде прехвърлена частично или изцяло на първичните производители;</w:t>
            </w:r>
          </w:p>
          <w:p w:rsidR="00C510B9" w:rsidRPr="008F4926" w:rsidRDefault="00C510B9" w:rsidP="008F4926">
            <w:pPr>
              <w:numPr>
                <w:ilvl w:val="0"/>
                <w:numId w:val="2"/>
              </w:numPr>
              <w:tabs>
                <w:tab w:val="clear" w:pos="720"/>
                <w:tab w:val="num" w:pos="328"/>
              </w:tabs>
              <w:ind w:left="328" w:hanging="283"/>
              <w:jc w:val="both"/>
              <w:rPr>
                <w:sz w:val="22"/>
                <w:szCs w:val="22"/>
              </w:rPr>
            </w:pPr>
            <w:r>
              <w:rPr>
                <w:sz w:val="22"/>
              </w:rPr>
              <w:t>Помощи за улесняване на закриването на неконкурентоспособни въглищни мини (Решение 2010/787/ЕС на Съвета);</w:t>
            </w:r>
          </w:p>
          <w:p w:rsidR="000E10AB" w:rsidRPr="008F4926" w:rsidRDefault="00C510B9" w:rsidP="008F4926">
            <w:pPr>
              <w:tabs>
                <w:tab w:val="num" w:pos="328"/>
              </w:tabs>
              <w:ind w:left="328"/>
              <w:jc w:val="both"/>
              <w:rPr>
                <w:i/>
                <w:sz w:val="22"/>
                <w:szCs w:val="22"/>
              </w:rPr>
            </w:pPr>
            <w:r>
              <w:rPr>
                <w:sz w:val="22"/>
              </w:rPr>
              <w:t xml:space="preserve">* </w:t>
            </w:r>
            <w:r>
              <w:rPr>
                <w:i/>
                <w:sz w:val="22"/>
              </w:rPr>
              <w:t>Ако предприятието упражнява също дейност в сектори, които попадат в приложното поле на настоящия регламент, той се прилага за помощите, предоставени в тези сектори, при условие че съответната държава членка гарантира, че дейностите в изключените сектори не се ползват от помощта.</w:t>
            </w:r>
          </w:p>
        </w:tc>
        <w:tc>
          <w:tcPr>
            <w:tcW w:w="6379" w:type="dxa"/>
            <w:vMerge/>
            <w:shd w:val="clear" w:color="auto" w:fill="auto"/>
          </w:tcPr>
          <w:p w:rsidR="000E10AB" w:rsidRPr="008F4926" w:rsidRDefault="000E10AB" w:rsidP="008F4926">
            <w:pPr>
              <w:rPr>
                <w:sz w:val="22"/>
                <w:szCs w:val="22"/>
              </w:rPr>
            </w:pPr>
          </w:p>
        </w:tc>
      </w:tr>
      <w:tr w:rsidR="000E10AB" w:rsidRPr="008F4926" w:rsidTr="00895393">
        <w:trPr>
          <w:trHeight w:val="145"/>
        </w:trPr>
        <w:tc>
          <w:tcPr>
            <w:tcW w:w="8233" w:type="dxa"/>
            <w:shd w:val="clear" w:color="auto" w:fill="D9D9D9"/>
          </w:tcPr>
          <w:p w:rsidR="000E10AB" w:rsidRPr="008F4926" w:rsidRDefault="000E10AB" w:rsidP="008F4926">
            <w:pPr>
              <w:jc w:val="both"/>
              <w:rPr>
                <w:b/>
                <w:sz w:val="22"/>
                <w:szCs w:val="22"/>
              </w:rPr>
            </w:pPr>
            <w:r>
              <w:rPr>
                <w:b/>
                <w:sz w:val="22"/>
              </w:rPr>
              <w:t xml:space="preserve">Член 1 — Изключване на дружествата, засегнати от правилото </w:t>
            </w:r>
            <w:proofErr w:type="spellStart"/>
            <w:r>
              <w:rPr>
                <w:b/>
                <w:sz w:val="22"/>
              </w:rPr>
              <w:t>Deggendorf</w:t>
            </w:r>
            <w:proofErr w:type="spellEnd"/>
            <w:r>
              <w:rPr>
                <w:b/>
                <w:sz w:val="22"/>
              </w:rPr>
              <w:t xml:space="preserve"> (параграф 4)</w:t>
            </w:r>
          </w:p>
        </w:tc>
        <w:tc>
          <w:tcPr>
            <w:tcW w:w="6379" w:type="dxa"/>
            <w:vMerge w:val="restart"/>
            <w:shd w:val="clear" w:color="auto" w:fill="auto"/>
          </w:tcPr>
          <w:p w:rsidR="000E10AB" w:rsidRPr="008F4926" w:rsidRDefault="000E10AB" w:rsidP="008F4926">
            <w:pPr>
              <w:rPr>
                <w:sz w:val="22"/>
                <w:szCs w:val="22"/>
              </w:rPr>
            </w:pPr>
          </w:p>
        </w:tc>
      </w:tr>
      <w:tr w:rsidR="000E10AB" w:rsidRPr="008F4926" w:rsidTr="00895393">
        <w:trPr>
          <w:trHeight w:val="145"/>
        </w:trPr>
        <w:tc>
          <w:tcPr>
            <w:tcW w:w="8233" w:type="dxa"/>
            <w:tcBorders>
              <w:bottom w:val="single" w:sz="4" w:space="0" w:color="auto"/>
            </w:tcBorders>
            <w:shd w:val="clear" w:color="auto" w:fill="auto"/>
          </w:tcPr>
          <w:p w:rsidR="000E10AB" w:rsidRPr="008F4926" w:rsidRDefault="00B10125" w:rsidP="008F4926">
            <w:pPr>
              <w:jc w:val="both"/>
              <w:rPr>
                <w:sz w:val="22"/>
                <w:szCs w:val="22"/>
              </w:rPr>
            </w:pPr>
            <w:r>
              <w:rPr>
                <w:sz w:val="22"/>
              </w:rPr>
              <w:t xml:space="preserve">N/A  </w:t>
            </w:r>
          </w:p>
        </w:tc>
        <w:tc>
          <w:tcPr>
            <w:tcW w:w="6379" w:type="dxa"/>
            <w:vMerge/>
            <w:shd w:val="clear" w:color="auto" w:fill="auto"/>
          </w:tcPr>
          <w:p w:rsidR="000E10AB" w:rsidRPr="008F4926" w:rsidRDefault="000E10AB" w:rsidP="008F4926">
            <w:pPr>
              <w:rPr>
                <w:sz w:val="22"/>
                <w:szCs w:val="22"/>
              </w:rPr>
            </w:pPr>
          </w:p>
        </w:tc>
      </w:tr>
      <w:tr w:rsidR="000E10AB" w:rsidRPr="008F4926" w:rsidTr="00166821">
        <w:trPr>
          <w:trHeight w:val="145"/>
        </w:trPr>
        <w:tc>
          <w:tcPr>
            <w:tcW w:w="8233" w:type="dxa"/>
            <w:shd w:val="clear" w:color="auto" w:fill="D9D9D9"/>
          </w:tcPr>
          <w:p w:rsidR="000E10AB" w:rsidRPr="008F4926" w:rsidRDefault="000E10AB" w:rsidP="008F4926">
            <w:pPr>
              <w:rPr>
                <w:b/>
                <w:sz w:val="22"/>
                <w:szCs w:val="22"/>
              </w:rPr>
            </w:pPr>
            <w:r>
              <w:rPr>
                <w:b/>
                <w:sz w:val="22"/>
              </w:rPr>
              <w:lastRenderedPageBreak/>
              <w:t>Член 1 — Изключване на дружествата в затруднено положение (параграф 4)</w:t>
            </w:r>
          </w:p>
        </w:tc>
        <w:tc>
          <w:tcPr>
            <w:tcW w:w="6379" w:type="dxa"/>
            <w:vMerge w:val="restart"/>
            <w:shd w:val="clear" w:color="auto" w:fill="FFFFFF"/>
          </w:tcPr>
          <w:p w:rsidR="000E10AB" w:rsidRPr="008F4926" w:rsidRDefault="000E10AB" w:rsidP="008F4926">
            <w:pPr>
              <w:rPr>
                <w:sz w:val="22"/>
                <w:szCs w:val="22"/>
              </w:rPr>
            </w:pPr>
          </w:p>
        </w:tc>
      </w:tr>
      <w:tr w:rsidR="000E10AB" w:rsidRPr="008F4926" w:rsidTr="00166821">
        <w:trPr>
          <w:trHeight w:val="489"/>
        </w:trPr>
        <w:tc>
          <w:tcPr>
            <w:tcW w:w="8233" w:type="dxa"/>
            <w:tcBorders>
              <w:bottom w:val="single" w:sz="4" w:space="0" w:color="auto"/>
            </w:tcBorders>
          </w:tcPr>
          <w:p w:rsidR="000E10AB" w:rsidRPr="008F4926" w:rsidRDefault="00B10125" w:rsidP="00B10125">
            <w:pPr>
              <w:jc w:val="both"/>
              <w:rPr>
                <w:sz w:val="22"/>
                <w:szCs w:val="22"/>
              </w:rPr>
            </w:pPr>
            <w:r>
              <w:rPr>
                <w:sz w:val="22"/>
              </w:rPr>
              <w:t>N/A</w:t>
            </w:r>
          </w:p>
        </w:tc>
        <w:tc>
          <w:tcPr>
            <w:tcW w:w="6379" w:type="dxa"/>
            <w:vMerge/>
            <w:shd w:val="clear" w:color="auto" w:fill="FFFFFF"/>
          </w:tcPr>
          <w:p w:rsidR="000E10AB" w:rsidRPr="008F4926" w:rsidRDefault="000E10AB" w:rsidP="008F4926">
            <w:pPr>
              <w:rPr>
                <w:sz w:val="22"/>
                <w:szCs w:val="22"/>
              </w:rPr>
            </w:pPr>
          </w:p>
        </w:tc>
      </w:tr>
      <w:tr w:rsidR="000E10AB" w:rsidRPr="008F4926" w:rsidTr="00895393">
        <w:trPr>
          <w:trHeight w:val="145"/>
        </w:trPr>
        <w:tc>
          <w:tcPr>
            <w:tcW w:w="8233" w:type="dxa"/>
            <w:shd w:val="clear" w:color="auto" w:fill="D9D9D9"/>
          </w:tcPr>
          <w:p w:rsidR="000E10AB" w:rsidRPr="008F4926" w:rsidRDefault="000E10AB" w:rsidP="00C5535F">
            <w:pPr>
              <w:jc w:val="both"/>
              <w:rPr>
                <w:b/>
                <w:sz w:val="22"/>
                <w:szCs w:val="22"/>
              </w:rPr>
            </w:pPr>
            <w:r>
              <w:rPr>
                <w:b/>
                <w:sz w:val="22"/>
              </w:rPr>
              <w:t xml:space="preserve">Член 1 — Изключване на </w:t>
            </w:r>
            <w:r w:rsidR="00C5535F">
              <w:rPr>
                <w:b/>
                <w:sz w:val="22"/>
              </w:rPr>
              <w:t>мерките</w:t>
            </w:r>
            <w:r>
              <w:rPr>
                <w:b/>
                <w:sz w:val="22"/>
              </w:rPr>
              <w:t xml:space="preserve"> за помощ, които нарушават законодателството на Съюза (параграф 5)</w:t>
            </w:r>
          </w:p>
        </w:tc>
        <w:tc>
          <w:tcPr>
            <w:tcW w:w="6379" w:type="dxa"/>
            <w:vMerge w:val="restart"/>
            <w:shd w:val="clear" w:color="auto" w:fill="auto"/>
          </w:tcPr>
          <w:p w:rsidR="000E10AB" w:rsidRPr="008F4926" w:rsidRDefault="000E10AB" w:rsidP="008F4926">
            <w:pPr>
              <w:rPr>
                <w:sz w:val="22"/>
                <w:szCs w:val="22"/>
              </w:rPr>
            </w:pPr>
          </w:p>
        </w:tc>
      </w:tr>
      <w:tr w:rsidR="000E10AB" w:rsidRPr="008F4926" w:rsidTr="00895393">
        <w:trPr>
          <w:trHeight w:val="145"/>
        </w:trPr>
        <w:tc>
          <w:tcPr>
            <w:tcW w:w="8233" w:type="dxa"/>
            <w:tcBorders>
              <w:bottom w:val="single" w:sz="4" w:space="0" w:color="auto"/>
            </w:tcBorders>
            <w:shd w:val="clear" w:color="auto" w:fill="auto"/>
          </w:tcPr>
          <w:p w:rsidR="000E10AB" w:rsidRPr="008F4926" w:rsidRDefault="00C510B9" w:rsidP="008F4926">
            <w:pPr>
              <w:autoSpaceDE w:val="0"/>
              <w:autoSpaceDN w:val="0"/>
              <w:adjustRightInd w:val="0"/>
              <w:rPr>
                <w:rFonts w:ascii="EUAlbertina-Regu" w:hAnsi="EUAlbertina-Regu" w:cs="EUAlbertina-Regu"/>
                <w:sz w:val="22"/>
                <w:szCs w:val="22"/>
              </w:rPr>
            </w:pPr>
            <w:r>
              <w:rPr>
                <w:b/>
                <w:sz w:val="22"/>
              </w:rPr>
              <w:t>Не</w:t>
            </w:r>
            <w:r>
              <w:rPr>
                <w:sz w:val="22"/>
              </w:rPr>
              <w:t xml:space="preserve"> се прилага за мерки за държавна помощ, които водят до неотделимо нарушение на законодателството на Съюза, по-специално:</w:t>
            </w:r>
          </w:p>
          <w:p w:rsidR="000E10AB" w:rsidRPr="008F4926" w:rsidRDefault="000E10AB" w:rsidP="008F4926">
            <w:pPr>
              <w:autoSpaceDE w:val="0"/>
              <w:autoSpaceDN w:val="0"/>
              <w:adjustRightInd w:val="0"/>
              <w:jc w:val="both"/>
              <w:rPr>
                <w:sz w:val="22"/>
                <w:szCs w:val="22"/>
              </w:rPr>
            </w:pPr>
            <w:r>
              <w:t>а) задължение седалището или основното място на установяване на бенефициера да се намира в съответната държава членка.</w:t>
            </w:r>
            <w:r>
              <w:rPr>
                <w:sz w:val="22"/>
              </w:rPr>
              <w:t xml:space="preserve"> Разрешава се условието към момента на изплащането на помощта бенефициерът да е създал седалище или клон в държавата членка, предоставяща помощта;</w:t>
            </w:r>
          </w:p>
          <w:p w:rsidR="000E10AB" w:rsidRPr="008F4926" w:rsidRDefault="000E10AB" w:rsidP="008F4926">
            <w:pPr>
              <w:autoSpaceDE w:val="0"/>
              <w:autoSpaceDN w:val="0"/>
              <w:adjustRightInd w:val="0"/>
              <w:jc w:val="both"/>
              <w:rPr>
                <w:sz w:val="22"/>
                <w:szCs w:val="22"/>
              </w:rPr>
            </w:pPr>
            <w:r>
              <w:rPr>
                <w:sz w:val="22"/>
              </w:rPr>
              <w:t>б) задължение бенефициерът да използва стоки и услуги, произведени на територията на държавата членка;</w:t>
            </w:r>
          </w:p>
          <w:p w:rsidR="000E10AB" w:rsidRPr="008F4926" w:rsidRDefault="000E10AB" w:rsidP="008F4926">
            <w:pPr>
              <w:autoSpaceDE w:val="0"/>
              <w:autoSpaceDN w:val="0"/>
              <w:adjustRightInd w:val="0"/>
              <w:jc w:val="both"/>
              <w:rPr>
                <w:sz w:val="22"/>
                <w:szCs w:val="22"/>
              </w:rPr>
            </w:pPr>
            <w:r>
              <w:rPr>
                <w:sz w:val="22"/>
              </w:rPr>
              <w:t>в) ограничаване на възможността бенефициерът да се възползва от резултатите от научноизследователска и развойна дейност и иновации в други държави членки.</w:t>
            </w:r>
          </w:p>
        </w:tc>
        <w:tc>
          <w:tcPr>
            <w:tcW w:w="6379" w:type="dxa"/>
            <w:vMerge/>
            <w:shd w:val="clear" w:color="auto" w:fill="auto"/>
          </w:tcPr>
          <w:p w:rsidR="000E10AB" w:rsidRPr="008F4926" w:rsidRDefault="000E10AB" w:rsidP="008F4926">
            <w:pPr>
              <w:rPr>
                <w:sz w:val="22"/>
                <w:szCs w:val="22"/>
              </w:rPr>
            </w:pPr>
          </w:p>
        </w:tc>
      </w:tr>
      <w:tr w:rsidR="000E10AB" w:rsidRPr="008F4926" w:rsidTr="00166821">
        <w:trPr>
          <w:trHeight w:val="271"/>
        </w:trPr>
        <w:tc>
          <w:tcPr>
            <w:tcW w:w="8233" w:type="dxa"/>
            <w:shd w:val="clear" w:color="auto" w:fill="D9D9D9"/>
          </w:tcPr>
          <w:p w:rsidR="000E10AB" w:rsidRPr="008F4926" w:rsidRDefault="000E10AB" w:rsidP="008F4926">
            <w:pPr>
              <w:jc w:val="both"/>
              <w:rPr>
                <w:b/>
                <w:sz w:val="22"/>
                <w:szCs w:val="22"/>
              </w:rPr>
            </w:pPr>
            <w:r>
              <w:rPr>
                <w:b/>
                <w:sz w:val="22"/>
              </w:rPr>
              <w:t>Член 4 — Индивидуални прагове за уведомяване</w:t>
            </w:r>
          </w:p>
        </w:tc>
        <w:tc>
          <w:tcPr>
            <w:tcW w:w="6379" w:type="dxa"/>
            <w:shd w:val="clear" w:color="auto" w:fill="D9D9D9"/>
          </w:tcPr>
          <w:p w:rsidR="000E10AB" w:rsidRPr="008F4926" w:rsidRDefault="000E10AB" w:rsidP="008F4926">
            <w:pPr>
              <w:rPr>
                <w:sz w:val="22"/>
                <w:szCs w:val="22"/>
              </w:rPr>
            </w:pPr>
          </w:p>
        </w:tc>
      </w:tr>
      <w:tr w:rsidR="000E10AB" w:rsidRPr="008F4926" w:rsidTr="00895393">
        <w:trPr>
          <w:trHeight w:val="271"/>
        </w:trPr>
        <w:tc>
          <w:tcPr>
            <w:tcW w:w="8233" w:type="dxa"/>
            <w:tcBorders>
              <w:bottom w:val="single" w:sz="4" w:space="0" w:color="auto"/>
            </w:tcBorders>
            <w:shd w:val="clear" w:color="auto" w:fill="auto"/>
          </w:tcPr>
          <w:p w:rsidR="000E10AB" w:rsidRPr="008F4926" w:rsidRDefault="008F4926" w:rsidP="008F4926">
            <w:pPr>
              <w:rPr>
                <w:sz w:val="22"/>
                <w:szCs w:val="22"/>
              </w:rPr>
            </w:pPr>
            <w:r>
              <w:rPr>
                <w:sz w:val="22"/>
              </w:rPr>
              <w:t>N/A</w:t>
            </w:r>
          </w:p>
        </w:tc>
        <w:tc>
          <w:tcPr>
            <w:tcW w:w="6379" w:type="dxa"/>
            <w:shd w:val="clear" w:color="auto" w:fill="auto"/>
          </w:tcPr>
          <w:p w:rsidR="000E10AB" w:rsidRPr="008F4926" w:rsidRDefault="000E10AB" w:rsidP="008F4926">
            <w:pPr>
              <w:rPr>
                <w:sz w:val="22"/>
                <w:szCs w:val="22"/>
              </w:rPr>
            </w:pPr>
          </w:p>
        </w:tc>
      </w:tr>
      <w:tr w:rsidR="000E10AB" w:rsidRPr="008F4926" w:rsidTr="00166821">
        <w:trPr>
          <w:trHeight w:val="344"/>
        </w:trPr>
        <w:tc>
          <w:tcPr>
            <w:tcW w:w="8233" w:type="dxa"/>
            <w:shd w:val="clear" w:color="auto" w:fill="D9D9D9"/>
          </w:tcPr>
          <w:p w:rsidR="000E10AB" w:rsidRPr="008F4926" w:rsidRDefault="000E10AB" w:rsidP="008F4926">
            <w:pPr>
              <w:jc w:val="both"/>
              <w:rPr>
                <w:b/>
                <w:sz w:val="22"/>
                <w:szCs w:val="22"/>
              </w:rPr>
            </w:pPr>
            <w:r>
              <w:rPr>
                <w:b/>
                <w:sz w:val="22"/>
              </w:rPr>
              <w:t xml:space="preserve">Член 5 — Прозрачност на помощта </w:t>
            </w:r>
          </w:p>
        </w:tc>
        <w:tc>
          <w:tcPr>
            <w:tcW w:w="6379" w:type="dxa"/>
            <w:shd w:val="clear" w:color="auto" w:fill="D9D9D9"/>
          </w:tcPr>
          <w:p w:rsidR="000E10AB" w:rsidRPr="008F4926" w:rsidRDefault="000E10AB" w:rsidP="008F4926">
            <w:pPr>
              <w:rPr>
                <w:sz w:val="22"/>
                <w:szCs w:val="22"/>
              </w:rPr>
            </w:pPr>
          </w:p>
        </w:tc>
      </w:tr>
      <w:tr w:rsidR="000E10AB" w:rsidRPr="008F4926" w:rsidTr="00895393">
        <w:trPr>
          <w:trHeight w:val="344"/>
        </w:trPr>
        <w:tc>
          <w:tcPr>
            <w:tcW w:w="8233" w:type="dxa"/>
            <w:shd w:val="clear" w:color="auto" w:fill="auto"/>
          </w:tcPr>
          <w:p w:rsidR="000E10AB" w:rsidRPr="008F4926" w:rsidRDefault="000E10AB" w:rsidP="008F4926">
            <w:pPr>
              <w:jc w:val="both"/>
              <w:rPr>
                <w:sz w:val="22"/>
                <w:szCs w:val="22"/>
              </w:rPr>
            </w:pPr>
            <w:r>
              <w:rPr>
                <w:sz w:val="22"/>
              </w:rPr>
              <w:t>Прилага се за прозрачни помощи, като за прозрачни се считат:</w:t>
            </w:r>
          </w:p>
          <w:p w:rsidR="000E10AB" w:rsidRPr="008F4926" w:rsidRDefault="000E10AB" w:rsidP="00B65C94">
            <w:pPr>
              <w:numPr>
                <w:ilvl w:val="0"/>
                <w:numId w:val="5"/>
              </w:numPr>
              <w:tabs>
                <w:tab w:val="clear" w:pos="720"/>
                <w:tab w:val="num" w:pos="328"/>
              </w:tabs>
              <w:ind w:left="328" w:hanging="283"/>
              <w:jc w:val="both"/>
              <w:rPr>
                <w:sz w:val="22"/>
                <w:szCs w:val="22"/>
              </w:rPr>
            </w:pPr>
            <w:r>
              <w:rPr>
                <w:sz w:val="22"/>
              </w:rPr>
              <w:t>безвъзмездните средства и лихвените субсидии;</w:t>
            </w:r>
          </w:p>
          <w:p w:rsidR="000E10AB" w:rsidRPr="008F4926" w:rsidRDefault="000E10AB" w:rsidP="008F4926">
            <w:pPr>
              <w:numPr>
                <w:ilvl w:val="0"/>
                <w:numId w:val="3"/>
              </w:numPr>
              <w:tabs>
                <w:tab w:val="clear" w:pos="720"/>
                <w:tab w:val="num" w:pos="328"/>
              </w:tabs>
              <w:ind w:left="328" w:hanging="283"/>
              <w:jc w:val="both"/>
              <w:rPr>
                <w:sz w:val="22"/>
                <w:szCs w:val="22"/>
              </w:rPr>
            </w:pPr>
            <w:r>
              <w:rPr>
                <w:sz w:val="22"/>
              </w:rPr>
              <w:t>заемите (когато брутният еквивалент на безвъзмездна помощ е изчислен въз основа на референтния процент към момента на предоставяне на безвъзмездните средства);</w:t>
            </w:r>
          </w:p>
          <w:p w:rsidR="000E10AB" w:rsidRPr="008F4926" w:rsidRDefault="000E10AB" w:rsidP="008F4926">
            <w:pPr>
              <w:numPr>
                <w:ilvl w:val="0"/>
                <w:numId w:val="3"/>
              </w:numPr>
              <w:tabs>
                <w:tab w:val="clear" w:pos="720"/>
                <w:tab w:val="num" w:pos="328"/>
              </w:tabs>
              <w:ind w:left="328" w:hanging="283"/>
              <w:jc w:val="both"/>
              <w:rPr>
                <w:sz w:val="22"/>
                <w:szCs w:val="22"/>
              </w:rPr>
            </w:pPr>
            <w:r>
              <w:rPr>
                <w:sz w:val="22"/>
              </w:rPr>
              <w:t xml:space="preserve">гаранциите </w:t>
            </w:r>
          </w:p>
          <w:p w:rsidR="000E10AB" w:rsidRPr="008F4926" w:rsidRDefault="000E10AB" w:rsidP="008F4926">
            <w:pPr>
              <w:tabs>
                <w:tab w:val="num" w:pos="470"/>
              </w:tabs>
              <w:ind w:left="328"/>
              <w:jc w:val="both"/>
              <w:rPr>
                <w:sz w:val="22"/>
                <w:szCs w:val="22"/>
              </w:rPr>
            </w:pPr>
            <w:r>
              <w:rPr>
                <w:sz w:val="22"/>
              </w:rPr>
              <w:t xml:space="preserve">(когато брутният еквивалент на безвъзмездна помощ е изчислен въз основа на минималните премии, посочени в известие на Комисията, </w:t>
            </w:r>
          </w:p>
          <w:p w:rsidR="000E10AB" w:rsidRPr="008F4926" w:rsidRDefault="000E10AB" w:rsidP="008F4926">
            <w:pPr>
              <w:tabs>
                <w:tab w:val="num" w:pos="328"/>
              </w:tabs>
              <w:ind w:left="328" w:hanging="283"/>
              <w:jc w:val="both"/>
              <w:rPr>
                <w:sz w:val="22"/>
                <w:szCs w:val="22"/>
              </w:rPr>
            </w:pPr>
            <w:r>
              <w:rPr>
                <w:sz w:val="22"/>
              </w:rPr>
              <w:t xml:space="preserve">или </w:t>
            </w:r>
          </w:p>
          <w:p w:rsidR="000E10AB" w:rsidRPr="008F4926" w:rsidRDefault="000E10AB" w:rsidP="008F4926">
            <w:pPr>
              <w:tabs>
                <w:tab w:val="num" w:pos="328"/>
              </w:tabs>
              <w:ind w:left="328"/>
              <w:jc w:val="both"/>
              <w:rPr>
                <w:sz w:val="22"/>
                <w:szCs w:val="22"/>
              </w:rPr>
            </w:pPr>
            <w:r>
              <w:rPr>
                <w:sz w:val="22"/>
              </w:rPr>
              <w:t xml:space="preserve">когато брутният еквивалент на безвъзмездна помощ е одобрен, преди мярката да бъде въведена в действие,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 за която гаранцията е </w:t>
            </w:r>
            <w:r>
              <w:rPr>
                <w:sz w:val="22"/>
              </w:rPr>
              <w:lastRenderedPageBreak/>
              <w:t>издадена, в контекста на прилагането на ОРГО);</w:t>
            </w:r>
          </w:p>
          <w:p w:rsidR="000E10AB" w:rsidRPr="008F4926" w:rsidRDefault="000E10AB" w:rsidP="008F4926">
            <w:pPr>
              <w:numPr>
                <w:ilvl w:val="0"/>
                <w:numId w:val="3"/>
              </w:numPr>
              <w:tabs>
                <w:tab w:val="clear" w:pos="720"/>
                <w:tab w:val="num" w:pos="328"/>
              </w:tabs>
              <w:ind w:left="328" w:hanging="283"/>
              <w:jc w:val="both"/>
              <w:rPr>
                <w:sz w:val="22"/>
                <w:szCs w:val="22"/>
              </w:rPr>
            </w:pPr>
            <w:r>
              <w:rPr>
                <w:sz w:val="22"/>
              </w:rPr>
              <w:t>данъчните предимства (когато по мярката е предвиден таван, с който се гарантира, че прагът няма да бъде надхвърлен);</w:t>
            </w:r>
          </w:p>
          <w:p w:rsidR="000E10AB" w:rsidRPr="008F4926" w:rsidRDefault="000E10AB" w:rsidP="008F4926">
            <w:pPr>
              <w:numPr>
                <w:ilvl w:val="0"/>
                <w:numId w:val="3"/>
              </w:numPr>
              <w:tabs>
                <w:tab w:val="clear" w:pos="720"/>
                <w:tab w:val="num" w:pos="328"/>
              </w:tabs>
              <w:autoSpaceDE w:val="0"/>
              <w:autoSpaceDN w:val="0"/>
              <w:adjustRightInd w:val="0"/>
              <w:ind w:left="328" w:hanging="283"/>
              <w:jc w:val="both"/>
              <w:rPr>
                <w:b/>
                <w:sz w:val="22"/>
                <w:szCs w:val="22"/>
              </w:rPr>
            </w:pPr>
            <w:proofErr w:type="spellStart"/>
            <w:r>
              <w:rPr>
                <w:sz w:val="22"/>
              </w:rPr>
              <w:t>възстановяемите</w:t>
            </w:r>
            <w:proofErr w:type="spellEnd"/>
            <w:r>
              <w:rPr>
                <w:sz w:val="22"/>
              </w:rPr>
              <w:t xml:space="preserve"> аванси (ако общият номинален размер на възстановяемия аванс не надхвърля приложимите прагове съгласно настоящия регламент или ако, след като Комисията е била уведомена за методиката за изчисляване на брутния еквивалент на безвъзмездна помощ на възстановимия аванс, тя е одобрила тази методика преди изпълнението на мярката).</w:t>
            </w:r>
          </w:p>
        </w:tc>
        <w:tc>
          <w:tcPr>
            <w:tcW w:w="6379" w:type="dxa"/>
            <w:shd w:val="clear" w:color="auto" w:fill="auto"/>
          </w:tcPr>
          <w:p w:rsidR="000E10AB" w:rsidRPr="008F4926" w:rsidRDefault="000E10AB" w:rsidP="008F4926">
            <w:pPr>
              <w:rPr>
                <w:sz w:val="22"/>
                <w:szCs w:val="22"/>
              </w:rPr>
            </w:pPr>
          </w:p>
        </w:tc>
      </w:tr>
      <w:tr w:rsidR="000E10AB" w:rsidRPr="008F4926" w:rsidTr="00F47FF9">
        <w:trPr>
          <w:trHeight w:val="271"/>
        </w:trPr>
        <w:tc>
          <w:tcPr>
            <w:tcW w:w="8233" w:type="dxa"/>
            <w:shd w:val="clear" w:color="auto" w:fill="D9D9D9"/>
          </w:tcPr>
          <w:p w:rsidR="000E10AB" w:rsidRPr="008F4926" w:rsidRDefault="000E10AB" w:rsidP="008F4926">
            <w:pPr>
              <w:rPr>
                <w:b/>
                <w:sz w:val="22"/>
                <w:szCs w:val="22"/>
              </w:rPr>
            </w:pPr>
            <w:r>
              <w:rPr>
                <w:b/>
                <w:sz w:val="22"/>
              </w:rPr>
              <w:lastRenderedPageBreak/>
              <w:t xml:space="preserve">Член 6 — Стимулиращ ефект </w:t>
            </w:r>
          </w:p>
        </w:tc>
        <w:tc>
          <w:tcPr>
            <w:tcW w:w="6379" w:type="dxa"/>
            <w:shd w:val="clear" w:color="auto" w:fill="D9D9D9"/>
          </w:tcPr>
          <w:p w:rsidR="000E10AB" w:rsidRPr="008F4926" w:rsidRDefault="000E10AB" w:rsidP="008F4926">
            <w:pPr>
              <w:rPr>
                <w:sz w:val="22"/>
                <w:szCs w:val="22"/>
              </w:rPr>
            </w:pPr>
          </w:p>
        </w:tc>
      </w:tr>
      <w:tr w:rsidR="000E10AB" w:rsidRPr="008F4926" w:rsidTr="00895393">
        <w:trPr>
          <w:trHeight w:val="271"/>
        </w:trPr>
        <w:tc>
          <w:tcPr>
            <w:tcW w:w="8233" w:type="dxa"/>
            <w:tcBorders>
              <w:bottom w:val="single" w:sz="4" w:space="0" w:color="auto"/>
            </w:tcBorders>
            <w:shd w:val="clear" w:color="auto" w:fill="auto"/>
          </w:tcPr>
          <w:p w:rsidR="000E10AB" w:rsidRPr="008F4926" w:rsidRDefault="00485C2C" w:rsidP="00485C2C">
            <w:pPr>
              <w:numPr>
                <w:ilvl w:val="0"/>
                <w:numId w:val="4"/>
              </w:numPr>
              <w:rPr>
                <w:sz w:val="22"/>
                <w:szCs w:val="22"/>
              </w:rPr>
            </w:pPr>
            <w:r>
              <w:rPr>
                <w:sz w:val="22"/>
              </w:rPr>
              <w:t>Трябва да бъдат изпълнени условията, посочени в член 50.</w:t>
            </w:r>
          </w:p>
        </w:tc>
        <w:tc>
          <w:tcPr>
            <w:tcW w:w="6379" w:type="dxa"/>
            <w:shd w:val="clear" w:color="auto" w:fill="auto"/>
          </w:tcPr>
          <w:p w:rsidR="000E10AB" w:rsidRPr="008F4926" w:rsidRDefault="000E10AB" w:rsidP="008F4926">
            <w:pPr>
              <w:rPr>
                <w:sz w:val="22"/>
                <w:szCs w:val="22"/>
              </w:rPr>
            </w:pPr>
          </w:p>
        </w:tc>
      </w:tr>
      <w:tr w:rsidR="000E10AB" w:rsidRPr="008F4926" w:rsidTr="00166821">
        <w:trPr>
          <w:trHeight w:val="344"/>
        </w:trPr>
        <w:tc>
          <w:tcPr>
            <w:tcW w:w="8233" w:type="dxa"/>
            <w:shd w:val="clear" w:color="auto" w:fill="D9D9D9"/>
          </w:tcPr>
          <w:p w:rsidR="000E10AB" w:rsidRPr="008F4926" w:rsidRDefault="000E10AB" w:rsidP="008F4926">
            <w:pPr>
              <w:jc w:val="both"/>
              <w:rPr>
                <w:b/>
                <w:sz w:val="22"/>
                <w:szCs w:val="22"/>
              </w:rPr>
            </w:pPr>
            <w:r>
              <w:rPr>
                <w:b/>
                <w:sz w:val="22"/>
              </w:rPr>
              <w:t>Член 7 — Допустими разходи</w:t>
            </w:r>
          </w:p>
        </w:tc>
        <w:tc>
          <w:tcPr>
            <w:tcW w:w="6379" w:type="dxa"/>
            <w:shd w:val="clear" w:color="auto" w:fill="D9D9D9"/>
          </w:tcPr>
          <w:p w:rsidR="000E10AB" w:rsidRPr="008F4926" w:rsidRDefault="000E10AB" w:rsidP="008F4926">
            <w:pPr>
              <w:rPr>
                <w:sz w:val="22"/>
                <w:szCs w:val="22"/>
              </w:rPr>
            </w:pPr>
          </w:p>
        </w:tc>
      </w:tr>
      <w:tr w:rsidR="000E10AB" w:rsidRPr="008F4926" w:rsidTr="0005360B">
        <w:trPr>
          <w:trHeight w:val="371"/>
        </w:trPr>
        <w:tc>
          <w:tcPr>
            <w:tcW w:w="8233" w:type="dxa"/>
            <w:tcBorders>
              <w:bottom w:val="single" w:sz="4" w:space="0" w:color="auto"/>
            </w:tcBorders>
            <w:shd w:val="clear" w:color="auto" w:fill="auto"/>
          </w:tcPr>
          <w:p w:rsidR="003A0DE8" w:rsidRPr="008F4926" w:rsidRDefault="008F4926" w:rsidP="008F4926">
            <w:pPr>
              <w:jc w:val="both"/>
              <w:rPr>
                <w:sz w:val="22"/>
                <w:szCs w:val="22"/>
              </w:rPr>
            </w:pPr>
            <w:r>
              <w:rPr>
                <w:sz w:val="22"/>
              </w:rPr>
              <w:t>За изчисляването на интензитета на помощта:</w:t>
            </w:r>
          </w:p>
          <w:p w:rsidR="003A0DE8" w:rsidRPr="008F4926" w:rsidRDefault="001B4E1A" w:rsidP="00B65C94">
            <w:pPr>
              <w:numPr>
                <w:ilvl w:val="0"/>
                <w:numId w:val="9"/>
              </w:numPr>
              <w:jc w:val="both"/>
              <w:rPr>
                <w:sz w:val="22"/>
                <w:szCs w:val="22"/>
              </w:rPr>
            </w:pPr>
            <w:r>
              <w:rPr>
                <w:sz w:val="22"/>
              </w:rPr>
              <w:t>Данните се събират преди приспадането на данъци и други такси.</w:t>
            </w:r>
          </w:p>
          <w:p w:rsidR="003A0DE8" w:rsidRPr="008F4926" w:rsidRDefault="003A0DE8" w:rsidP="00B65C94">
            <w:pPr>
              <w:numPr>
                <w:ilvl w:val="0"/>
                <w:numId w:val="9"/>
              </w:numPr>
              <w:jc w:val="both"/>
              <w:rPr>
                <w:sz w:val="22"/>
                <w:szCs w:val="22"/>
              </w:rPr>
            </w:pPr>
            <w:r>
              <w:rPr>
                <w:sz w:val="22"/>
              </w:rPr>
              <w:t>При помощите, които се предоставят не под формата на безвъзмездни средства, а под друга форма, размерът на помощта е нейният брутен еквивалент на безвъзмездна помощ.</w:t>
            </w:r>
          </w:p>
          <w:p w:rsidR="003A0DE8" w:rsidRPr="008F4926" w:rsidRDefault="003A0DE8" w:rsidP="00B65C94">
            <w:pPr>
              <w:numPr>
                <w:ilvl w:val="0"/>
                <w:numId w:val="9"/>
              </w:numPr>
              <w:jc w:val="both"/>
              <w:rPr>
                <w:sz w:val="22"/>
                <w:szCs w:val="22"/>
              </w:rPr>
            </w:pPr>
            <w:r>
              <w:rPr>
                <w:sz w:val="22"/>
              </w:rPr>
              <w:t xml:space="preserve">Помощите, които се предоставят на няколко части, се сконтират към размера си към момента на предоставяне (същото важи и за допустимите разходи и лихвените проценти към момента на предоставяне). </w:t>
            </w:r>
          </w:p>
          <w:p w:rsidR="003A0DE8" w:rsidRPr="008F4926" w:rsidRDefault="003A0DE8" w:rsidP="00B65C94">
            <w:pPr>
              <w:numPr>
                <w:ilvl w:val="0"/>
                <w:numId w:val="9"/>
              </w:numPr>
              <w:jc w:val="both"/>
              <w:rPr>
                <w:sz w:val="22"/>
                <w:szCs w:val="22"/>
              </w:rPr>
            </w:pPr>
            <w:r>
              <w:rPr>
                <w:sz w:val="22"/>
              </w:rPr>
              <w:t>Отделните траншове помощ под формата на данъчни предимства се сконтират въз основа на сконтовите проценти, приложими към момента на влизане в сила на данъчното предимство.</w:t>
            </w:r>
          </w:p>
          <w:p w:rsidR="003A0DE8" w:rsidRPr="008F4926" w:rsidRDefault="003A0DE8" w:rsidP="00B65C94">
            <w:pPr>
              <w:numPr>
                <w:ilvl w:val="0"/>
                <w:numId w:val="9"/>
              </w:numPr>
              <w:autoSpaceDE w:val="0"/>
              <w:autoSpaceDN w:val="0"/>
              <w:adjustRightInd w:val="0"/>
              <w:jc w:val="both"/>
              <w:rPr>
                <w:sz w:val="22"/>
                <w:szCs w:val="22"/>
              </w:rPr>
            </w:pPr>
            <w:r>
              <w:rPr>
                <w:sz w:val="22"/>
              </w:rPr>
              <w:t>Когато помощите се предоставят под формата на възстановяеми аванси, които, при липса на одобрена методика за изчисляване на техния брутен еквивалент на безвъзмездна помощ, са изразени като процент от допустимите разходи, и мярката предвижда, че при успешен резултат от проекта, за който се съди въз основа на реалистична и предпазлива хипотеза, авансовите плащания се възстановяват с лихвен процент, поне равен на сконтовия процент, приложим към момента на предоставяне на помощта, максималният интензитет на помощта може да бъде увеличен с 10 процентни пункта.</w:t>
            </w:r>
          </w:p>
          <w:p w:rsidR="003A0DE8" w:rsidRPr="008F4926" w:rsidRDefault="003A0DE8" w:rsidP="008F4926">
            <w:pPr>
              <w:autoSpaceDE w:val="0"/>
              <w:autoSpaceDN w:val="0"/>
              <w:adjustRightInd w:val="0"/>
              <w:jc w:val="both"/>
              <w:rPr>
                <w:sz w:val="22"/>
                <w:szCs w:val="22"/>
              </w:rPr>
            </w:pPr>
            <w:r>
              <w:rPr>
                <w:sz w:val="22"/>
              </w:rPr>
              <w:t>Допустими разходи и документация</w:t>
            </w:r>
          </w:p>
          <w:p w:rsidR="000E10AB" w:rsidRPr="008F4926" w:rsidRDefault="003A0DE8" w:rsidP="00B65C94">
            <w:pPr>
              <w:numPr>
                <w:ilvl w:val="0"/>
                <w:numId w:val="11"/>
              </w:numPr>
              <w:ind w:left="328" w:hanging="283"/>
              <w:jc w:val="both"/>
              <w:rPr>
                <w:sz w:val="22"/>
                <w:szCs w:val="22"/>
              </w:rPr>
            </w:pPr>
            <w:r>
              <w:rPr>
                <w:sz w:val="22"/>
              </w:rPr>
              <w:lastRenderedPageBreak/>
              <w:t xml:space="preserve">Допустими разходи, подкрепени с ясни, конкретни и актуални документи. </w:t>
            </w:r>
          </w:p>
        </w:tc>
        <w:tc>
          <w:tcPr>
            <w:tcW w:w="6379" w:type="dxa"/>
            <w:shd w:val="clear" w:color="auto" w:fill="auto"/>
          </w:tcPr>
          <w:p w:rsidR="000E10AB" w:rsidRPr="008F4926" w:rsidRDefault="000E10AB" w:rsidP="008F4926">
            <w:pPr>
              <w:rPr>
                <w:sz w:val="22"/>
                <w:szCs w:val="22"/>
              </w:rPr>
            </w:pPr>
          </w:p>
        </w:tc>
      </w:tr>
      <w:tr w:rsidR="000E10AB" w:rsidRPr="008F4926" w:rsidTr="00166821">
        <w:trPr>
          <w:trHeight w:val="271"/>
        </w:trPr>
        <w:tc>
          <w:tcPr>
            <w:tcW w:w="8233" w:type="dxa"/>
            <w:shd w:val="clear" w:color="auto" w:fill="D9D9D9"/>
          </w:tcPr>
          <w:p w:rsidR="000E10AB" w:rsidRPr="008F4926" w:rsidRDefault="000E10AB" w:rsidP="008F4926">
            <w:pPr>
              <w:jc w:val="both"/>
              <w:rPr>
                <w:b/>
                <w:sz w:val="22"/>
                <w:szCs w:val="22"/>
              </w:rPr>
            </w:pPr>
            <w:r>
              <w:rPr>
                <w:b/>
                <w:sz w:val="22"/>
              </w:rPr>
              <w:lastRenderedPageBreak/>
              <w:t>Член 8 — Натрупване</w:t>
            </w:r>
          </w:p>
        </w:tc>
        <w:tc>
          <w:tcPr>
            <w:tcW w:w="6379" w:type="dxa"/>
            <w:shd w:val="clear" w:color="auto" w:fill="D9D9D9"/>
          </w:tcPr>
          <w:p w:rsidR="000E10AB" w:rsidRPr="008F4926" w:rsidRDefault="000E10AB" w:rsidP="008F4926">
            <w:pPr>
              <w:rPr>
                <w:sz w:val="22"/>
                <w:szCs w:val="22"/>
              </w:rPr>
            </w:pPr>
          </w:p>
        </w:tc>
      </w:tr>
      <w:tr w:rsidR="000E10AB" w:rsidRPr="008F4926" w:rsidTr="00895393">
        <w:trPr>
          <w:trHeight w:val="271"/>
        </w:trPr>
        <w:tc>
          <w:tcPr>
            <w:tcW w:w="8233" w:type="dxa"/>
            <w:tcBorders>
              <w:bottom w:val="single" w:sz="4" w:space="0" w:color="auto"/>
            </w:tcBorders>
            <w:shd w:val="clear" w:color="auto" w:fill="auto"/>
          </w:tcPr>
          <w:p w:rsidR="0059608C" w:rsidRPr="00634953" w:rsidRDefault="0059608C" w:rsidP="00B65C94">
            <w:pPr>
              <w:numPr>
                <w:ilvl w:val="0"/>
                <w:numId w:val="10"/>
              </w:numPr>
              <w:jc w:val="both"/>
              <w:rPr>
                <w:sz w:val="22"/>
                <w:szCs w:val="22"/>
              </w:rPr>
            </w:pPr>
            <w:r w:rsidRPr="00634953">
              <w:rPr>
                <w:sz w:val="22"/>
                <w:szCs w:val="22"/>
              </w:rPr>
              <w:t xml:space="preserve">За праговете и максималните интензитети на помощта се взема предвид </w:t>
            </w:r>
            <w:r w:rsidRPr="00634953">
              <w:rPr>
                <w:b/>
                <w:sz w:val="22"/>
                <w:szCs w:val="22"/>
              </w:rPr>
              <w:t>общият размер</w:t>
            </w:r>
            <w:r w:rsidRPr="00634953">
              <w:rPr>
                <w:sz w:val="22"/>
                <w:szCs w:val="22"/>
              </w:rPr>
              <w:t xml:space="preserve"> на помощта (параграф 1).</w:t>
            </w:r>
          </w:p>
          <w:p w:rsidR="0059608C" w:rsidRPr="00634953" w:rsidRDefault="0059608C" w:rsidP="00B65C94">
            <w:pPr>
              <w:numPr>
                <w:ilvl w:val="0"/>
                <w:numId w:val="10"/>
              </w:numPr>
              <w:autoSpaceDE w:val="0"/>
              <w:autoSpaceDN w:val="0"/>
              <w:adjustRightInd w:val="0"/>
              <w:jc w:val="both"/>
              <w:rPr>
                <w:sz w:val="22"/>
                <w:szCs w:val="22"/>
              </w:rPr>
            </w:pPr>
            <w:r w:rsidRPr="00634953">
              <w:rPr>
                <w:sz w:val="22"/>
                <w:szCs w:val="22"/>
              </w:rPr>
              <w:t xml:space="preserve">Когато </w:t>
            </w:r>
            <w:r w:rsidRPr="00634953">
              <w:rPr>
                <w:b/>
                <w:sz w:val="22"/>
                <w:szCs w:val="22"/>
              </w:rPr>
              <w:t>финансиране от Съюза</w:t>
            </w:r>
            <w:r w:rsidRPr="00634953">
              <w:rPr>
                <w:sz w:val="22"/>
                <w:szCs w:val="22"/>
              </w:rPr>
              <w:t xml:space="preserve"> (което не е под контрола на държавата членка) е съчетано с държавна помощ,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в приложимите правила на законодателството на Съюза (параграф 2).</w:t>
            </w:r>
          </w:p>
          <w:p w:rsidR="0059608C" w:rsidRPr="00634953" w:rsidRDefault="0059608C" w:rsidP="00B65C94">
            <w:pPr>
              <w:numPr>
                <w:ilvl w:val="0"/>
                <w:numId w:val="10"/>
              </w:numPr>
              <w:jc w:val="both"/>
              <w:rPr>
                <w:sz w:val="22"/>
                <w:szCs w:val="22"/>
              </w:rPr>
            </w:pPr>
            <w:r w:rsidRPr="00634953">
              <w:rPr>
                <w:sz w:val="22"/>
                <w:szCs w:val="22"/>
              </w:rPr>
              <w:t xml:space="preserve">Освободените от задължението за уведомяване помощи могат да се натрупват с всякаква друга държавна помощ, ако </w:t>
            </w:r>
            <w:proofErr w:type="spellStart"/>
            <w:r w:rsidRPr="00634953">
              <w:rPr>
                <w:b/>
                <w:sz w:val="22"/>
                <w:szCs w:val="22"/>
              </w:rPr>
              <w:t>установимите</w:t>
            </w:r>
            <w:proofErr w:type="spellEnd"/>
            <w:r w:rsidRPr="00634953">
              <w:rPr>
                <w:b/>
                <w:sz w:val="22"/>
                <w:szCs w:val="22"/>
              </w:rPr>
              <w:t xml:space="preserve"> разходи са различни</w:t>
            </w:r>
            <w:r w:rsidRPr="00634953">
              <w:rPr>
                <w:sz w:val="22"/>
                <w:szCs w:val="22"/>
              </w:rPr>
              <w:t xml:space="preserve"> (параграф 3, буква а).</w:t>
            </w:r>
          </w:p>
          <w:p w:rsidR="0059608C" w:rsidRPr="00634953" w:rsidRDefault="0059608C" w:rsidP="00B65C94">
            <w:pPr>
              <w:numPr>
                <w:ilvl w:val="0"/>
                <w:numId w:val="10"/>
              </w:numPr>
              <w:jc w:val="both"/>
              <w:rPr>
                <w:sz w:val="22"/>
                <w:szCs w:val="22"/>
              </w:rPr>
            </w:pPr>
            <w:r w:rsidRPr="00634953">
              <w:rPr>
                <w:sz w:val="22"/>
                <w:szCs w:val="22"/>
              </w:rPr>
              <w:t xml:space="preserve">Не се допуска натрупване на освободени от задължението за уведомяване помощи с никаква друга помощ във връзка със </w:t>
            </w:r>
            <w:r w:rsidRPr="00634953">
              <w:rPr>
                <w:b/>
                <w:sz w:val="22"/>
                <w:szCs w:val="22"/>
              </w:rPr>
              <w:t>същите допустими разходи</w:t>
            </w:r>
            <w:r w:rsidRPr="00634953">
              <w:rPr>
                <w:sz w:val="22"/>
                <w:szCs w:val="22"/>
              </w:rPr>
              <w:t>, които се припокриват частично или напълно, ако това натрупване води до надхвърляне на най-високия интензитет или най-високия размер на помощта, приложими за тази помощ (параграф 3, буква б).</w:t>
            </w:r>
          </w:p>
          <w:p w:rsidR="000E10AB" w:rsidRPr="008F4926" w:rsidRDefault="0059608C" w:rsidP="00B65C94">
            <w:pPr>
              <w:numPr>
                <w:ilvl w:val="0"/>
                <w:numId w:val="10"/>
              </w:numPr>
              <w:jc w:val="both"/>
              <w:rPr>
                <w:sz w:val="22"/>
                <w:szCs w:val="22"/>
              </w:rPr>
            </w:pPr>
            <w:r w:rsidRPr="00634953">
              <w:rPr>
                <w:sz w:val="22"/>
                <w:szCs w:val="22"/>
              </w:rPr>
              <w:t xml:space="preserve">Държавните помощи, освободени от задължението за уведомяване по силата на ОРГО, не могат да се натрупват с помощ </w:t>
            </w:r>
            <w:r w:rsidRPr="00634953">
              <w:rPr>
                <w:b/>
                <w:sz w:val="22"/>
                <w:szCs w:val="22"/>
              </w:rPr>
              <w:t>de minimis</w:t>
            </w:r>
            <w:r w:rsidRPr="00634953">
              <w:rPr>
                <w:sz w:val="22"/>
                <w:szCs w:val="22"/>
              </w:rPr>
              <w:t xml:space="preserve"> по отношение на същите допустими разходи, ако това натрупване би довело до интензитет на помощта, надхвърлящ праговете, установени в глава III от ОРГО (параграф 5).</w:t>
            </w:r>
          </w:p>
        </w:tc>
        <w:tc>
          <w:tcPr>
            <w:tcW w:w="6379" w:type="dxa"/>
            <w:shd w:val="clear" w:color="auto" w:fill="auto"/>
          </w:tcPr>
          <w:p w:rsidR="000E10AB" w:rsidRPr="008F4926" w:rsidRDefault="000E10AB" w:rsidP="008F4926">
            <w:pPr>
              <w:rPr>
                <w:sz w:val="22"/>
                <w:szCs w:val="22"/>
              </w:rPr>
            </w:pPr>
          </w:p>
        </w:tc>
      </w:tr>
      <w:tr w:rsidR="00B54FC3" w:rsidRPr="002B692E" w:rsidTr="00166821">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D9D9D9"/>
          </w:tcPr>
          <w:p w:rsidR="00B54FC3" w:rsidRPr="002B692E" w:rsidRDefault="00B54FC3" w:rsidP="00B54FC3">
            <w:pPr>
              <w:tabs>
                <w:tab w:val="num" w:pos="360"/>
              </w:tabs>
              <w:ind w:left="360" w:hanging="360"/>
              <w:jc w:val="both"/>
              <w:rPr>
                <w:b/>
                <w:sz w:val="22"/>
                <w:szCs w:val="22"/>
              </w:rPr>
            </w:pPr>
            <w:r>
              <w:rPr>
                <w:b/>
                <w:sz w:val="22"/>
              </w:rPr>
              <w:t xml:space="preserve">Член 9 — Публикуване и информация </w:t>
            </w:r>
          </w:p>
        </w:tc>
        <w:tc>
          <w:tcPr>
            <w:tcW w:w="6379" w:type="dxa"/>
            <w:tcBorders>
              <w:top w:val="single" w:sz="4" w:space="0" w:color="auto"/>
              <w:left w:val="single" w:sz="4" w:space="0" w:color="auto"/>
              <w:bottom w:val="single" w:sz="4" w:space="0" w:color="auto"/>
              <w:right w:val="single" w:sz="4" w:space="0" w:color="auto"/>
            </w:tcBorders>
            <w:shd w:val="clear" w:color="auto" w:fill="D9D9D9"/>
          </w:tcPr>
          <w:p w:rsidR="00B54FC3" w:rsidRPr="002B692E" w:rsidRDefault="00B54FC3" w:rsidP="003E5D21">
            <w:pPr>
              <w:rPr>
                <w:sz w:val="22"/>
                <w:szCs w:val="22"/>
              </w:rPr>
            </w:pPr>
          </w:p>
        </w:tc>
      </w:tr>
      <w:tr w:rsidR="00B54FC3" w:rsidRPr="002B692E" w:rsidTr="00B54FC3">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auto"/>
          </w:tcPr>
          <w:p w:rsidR="00B54FC3" w:rsidRPr="00B65C94" w:rsidRDefault="00B54FC3" w:rsidP="00B65C94">
            <w:pPr>
              <w:numPr>
                <w:ilvl w:val="0"/>
                <w:numId w:val="13"/>
              </w:numPr>
              <w:autoSpaceDE w:val="0"/>
              <w:autoSpaceDN w:val="0"/>
              <w:adjustRightInd w:val="0"/>
              <w:ind w:left="328" w:hanging="328"/>
              <w:jc w:val="both"/>
              <w:rPr>
                <w:sz w:val="22"/>
                <w:szCs w:val="22"/>
              </w:rPr>
            </w:pPr>
            <w:r>
              <w:rPr>
                <w:sz w:val="22"/>
              </w:rPr>
              <w:t>Публикуване на подробен уебсайт за държавните помощи — на национално или регионално равнище — на следното (параграф 1):</w:t>
            </w:r>
          </w:p>
          <w:p w:rsidR="00B54FC3" w:rsidRPr="00B65C94" w:rsidRDefault="00DE33C6" w:rsidP="00132826">
            <w:pPr>
              <w:autoSpaceDE w:val="0"/>
              <w:autoSpaceDN w:val="0"/>
              <w:adjustRightInd w:val="0"/>
              <w:ind w:left="328"/>
              <w:jc w:val="both"/>
              <w:rPr>
                <w:sz w:val="22"/>
                <w:szCs w:val="22"/>
              </w:rPr>
            </w:pPr>
            <w:r>
              <w:rPr>
                <w:sz w:val="22"/>
              </w:rPr>
              <w:t>а)</w:t>
            </w:r>
            <w:r w:rsidR="005D610E" w:rsidRPr="005D610E">
              <w:rPr>
                <w:sz w:val="22"/>
              </w:rPr>
              <w:tab/>
            </w:r>
            <w:r w:rsidR="00B54FC3">
              <w:rPr>
                <w:sz w:val="22"/>
              </w:rPr>
              <w:t xml:space="preserve">обобщената информация (вж. член 11) или връзка, която предоставя достъп </w:t>
            </w:r>
            <w:r w:rsidR="005D610E" w:rsidRPr="005D610E">
              <w:rPr>
                <w:sz w:val="22"/>
              </w:rPr>
              <w:tab/>
            </w:r>
            <w:r w:rsidR="00B54FC3">
              <w:rPr>
                <w:sz w:val="22"/>
              </w:rPr>
              <w:t>до нея;</w:t>
            </w:r>
          </w:p>
          <w:p w:rsidR="00B54FC3" w:rsidRPr="00B65C94" w:rsidRDefault="005D610E" w:rsidP="00132826">
            <w:pPr>
              <w:autoSpaceDE w:val="0"/>
              <w:autoSpaceDN w:val="0"/>
              <w:adjustRightInd w:val="0"/>
              <w:ind w:left="328"/>
              <w:jc w:val="both"/>
              <w:rPr>
                <w:sz w:val="22"/>
                <w:szCs w:val="22"/>
              </w:rPr>
            </w:pPr>
            <w:r>
              <w:rPr>
                <w:sz w:val="22"/>
              </w:rPr>
              <w:t>б)</w:t>
            </w:r>
            <w:r w:rsidRPr="005D610E">
              <w:rPr>
                <w:sz w:val="22"/>
              </w:rPr>
              <w:tab/>
            </w:r>
            <w:r w:rsidR="00B54FC3">
              <w:rPr>
                <w:sz w:val="22"/>
              </w:rPr>
              <w:t xml:space="preserve">пълния текст на всяка мярка за помощ (вж. член 11) или връзка, която </w:t>
            </w:r>
            <w:r w:rsidRPr="005D610E">
              <w:rPr>
                <w:sz w:val="22"/>
              </w:rPr>
              <w:tab/>
            </w:r>
            <w:r w:rsidR="00B54FC3">
              <w:rPr>
                <w:sz w:val="22"/>
              </w:rPr>
              <w:t>предоставя достъп до него;</w:t>
            </w:r>
          </w:p>
          <w:p w:rsidR="00B54FC3" w:rsidRPr="00B65C94" w:rsidRDefault="005D610E" w:rsidP="00132826">
            <w:pPr>
              <w:autoSpaceDE w:val="0"/>
              <w:autoSpaceDN w:val="0"/>
              <w:adjustRightInd w:val="0"/>
              <w:ind w:left="328"/>
              <w:jc w:val="both"/>
              <w:rPr>
                <w:sz w:val="22"/>
                <w:szCs w:val="22"/>
              </w:rPr>
            </w:pPr>
            <w:r>
              <w:rPr>
                <w:sz w:val="22"/>
              </w:rPr>
              <w:lastRenderedPageBreak/>
              <w:t>в)</w:t>
            </w:r>
            <w:r w:rsidRPr="005D610E">
              <w:rPr>
                <w:sz w:val="22"/>
              </w:rPr>
              <w:tab/>
            </w:r>
            <w:r w:rsidR="00B54FC3">
              <w:rPr>
                <w:sz w:val="22"/>
              </w:rPr>
              <w:t xml:space="preserve">информацията относно всяка предоставена индивидуална помощ, </w:t>
            </w:r>
            <w:r w:rsidRPr="005D610E">
              <w:rPr>
                <w:sz w:val="22"/>
              </w:rPr>
              <w:tab/>
            </w:r>
            <w:r w:rsidR="00B54FC3">
              <w:rPr>
                <w:sz w:val="22"/>
              </w:rPr>
              <w:t>надхвърляща 500 000 евро (вж. приложение III).</w:t>
            </w:r>
          </w:p>
          <w:p w:rsidR="00B54FC3" w:rsidRPr="00B65C94" w:rsidRDefault="00B54FC3" w:rsidP="00B54FC3">
            <w:pPr>
              <w:tabs>
                <w:tab w:val="num" w:pos="360"/>
              </w:tabs>
              <w:ind w:left="360" w:hanging="360"/>
              <w:jc w:val="both"/>
              <w:rPr>
                <w:sz w:val="22"/>
                <w:szCs w:val="22"/>
              </w:rPr>
            </w:pPr>
            <w:r>
              <w:rPr>
                <w:sz w:val="22"/>
              </w:rPr>
              <w:t>Що се отнася до помощта, предоставена в полза на проекти по цел „Европейско териториално сътрудничество“, информацията, посочена в настоящия параграф, се помества на уебсайта на държавата членка, в която е разположен съответният управителен орган, съгласно определението в член 21 от Регламент (ЕС) № 1299/2013 на Европейския парламент и на Съвета.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w:t>
            </w:r>
          </w:p>
          <w:p w:rsidR="00B54FC3" w:rsidRPr="00B65C94" w:rsidRDefault="00B54FC3" w:rsidP="00B65C94">
            <w:pPr>
              <w:numPr>
                <w:ilvl w:val="0"/>
                <w:numId w:val="13"/>
              </w:numPr>
              <w:autoSpaceDE w:val="0"/>
              <w:autoSpaceDN w:val="0"/>
              <w:adjustRightInd w:val="0"/>
              <w:ind w:left="328" w:hanging="283"/>
              <w:jc w:val="both"/>
              <w:rPr>
                <w:sz w:val="22"/>
                <w:szCs w:val="22"/>
              </w:rPr>
            </w:pPr>
            <w:r>
              <w:rPr>
                <w:sz w:val="22"/>
              </w:rPr>
              <w:t>За схемите под формата на данъчни предимства и схемите по членове 16 и 21 (с изключение на МСП, които не са осъществили търговска продажба на нито един пазар) условията, посочени в параграф 1, буква в) от настоящия член, се считат за изпълнени, ако държавите членки публикуват необходимата информация за размера на индивидуалните помощи в следните диапазони (в милиони евро) (параграф 2):</w:t>
            </w:r>
          </w:p>
          <w:p w:rsidR="00B54FC3" w:rsidRPr="00B65C94" w:rsidRDefault="00B54FC3" w:rsidP="00B65C94">
            <w:pPr>
              <w:numPr>
                <w:ilvl w:val="0"/>
                <w:numId w:val="15"/>
              </w:numPr>
              <w:autoSpaceDE w:val="0"/>
              <w:autoSpaceDN w:val="0"/>
              <w:adjustRightInd w:val="0"/>
              <w:jc w:val="both"/>
              <w:rPr>
                <w:sz w:val="22"/>
                <w:szCs w:val="22"/>
              </w:rPr>
            </w:pPr>
            <w:r>
              <w:rPr>
                <w:sz w:val="22"/>
              </w:rPr>
              <w:t>0,5-1;</w:t>
            </w:r>
          </w:p>
          <w:p w:rsidR="00B54FC3" w:rsidRPr="00B65C94" w:rsidRDefault="00B54FC3" w:rsidP="00B65C94">
            <w:pPr>
              <w:numPr>
                <w:ilvl w:val="0"/>
                <w:numId w:val="15"/>
              </w:numPr>
              <w:autoSpaceDE w:val="0"/>
              <w:autoSpaceDN w:val="0"/>
              <w:adjustRightInd w:val="0"/>
              <w:jc w:val="both"/>
              <w:rPr>
                <w:sz w:val="22"/>
                <w:szCs w:val="22"/>
              </w:rPr>
            </w:pPr>
            <w:r>
              <w:rPr>
                <w:sz w:val="22"/>
              </w:rPr>
              <w:t>1-2;</w:t>
            </w:r>
          </w:p>
          <w:p w:rsidR="00B54FC3" w:rsidRPr="00B65C94" w:rsidRDefault="00B54FC3" w:rsidP="00B65C94">
            <w:pPr>
              <w:numPr>
                <w:ilvl w:val="0"/>
                <w:numId w:val="15"/>
              </w:numPr>
              <w:autoSpaceDE w:val="0"/>
              <w:autoSpaceDN w:val="0"/>
              <w:adjustRightInd w:val="0"/>
              <w:jc w:val="both"/>
              <w:rPr>
                <w:sz w:val="22"/>
                <w:szCs w:val="22"/>
              </w:rPr>
            </w:pPr>
            <w:r>
              <w:rPr>
                <w:sz w:val="22"/>
              </w:rPr>
              <w:t>2-5;</w:t>
            </w:r>
          </w:p>
          <w:p w:rsidR="00B54FC3" w:rsidRPr="00B65C94" w:rsidRDefault="00B54FC3" w:rsidP="00B65C94">
            <w:pPr>
              <w:numPr>
                <w:ilvl w:val="0"/>
                <w:numId w:val="15"/>
              </w:numPr>
              <w:autoSpaceDE w:val="0"/>
              <w:autoSpaceDN w:val="0"/>
              <w:adjustRightInd w:val="0"/>
              <w:jc w:val="both"/>
              <w:rPr>
                <w:sz w:val="22"/>
                <w:szCs w:val="22"/>
              </w:rPr>
            </w:pPr>
            <w:r>
              <w:rPr>
                <w:sz w:val="22"/>
              </w:rPr>
              <w:t>5-10;</w:t>
            </w:r>
          </w:p>
          <w:p w:rsidR="00B54FC3" w:rsidRPr="00B65C94" w:rsidRDefault="00B54FC3" w:rsidP="00B65C94">
            <w:pPr>
              <w:numPr>
                <w:ilvl w:val="0"/>
                <w:numId w:val="15"/>
              </w:numPr>
              <w:autoSpaceDE w:val="0"/>
              <w:autoSpaceDN w:val="0"/>
              <w:adjustRightInd w:val="0"/>
              <w:jc w:val="both"/>
              <w:rPr>
                <w:sz w:val="22"/>
                <w:szCs w:val="22"/>
              </w:rPr>
            </w:pPr>
            <w:r>
              <w:rPr>
                <w:sz w:val="22"/>
              </w:rPr>
              <w:t>10-30; и</w:t>
            </w:r>
          </w:p>
          <w:p w:rsidR="00B54FC3" w:rsidRPr="00B65C94" w:rsidRDefault="00B54FC3" w:rsidP="00B65C94">
            <w:pPr>
              <w:numPr>
                <w:ilvl w:val="0"/>
                <w:numId w:val="15"/>
              </w:numPr>
              <w:autoSpaceDE w:val="0"/>
              <w:autoSpaceDN w:val="0"/>
              <w:adjustRightInd w:val="0"/>
              <w:jc w:val="both"/>
              <w:rPr>
                <w:sz w:val="22"/>
                <w:szCs w:val="22"/>
              </w:rPr>
            </w:pPr>
            <w:r>
              <w:rPr>
                <w:sz w:val="22"/>
              </w:rPr>
              <w:t>30 и повече.</w:t>
            </w:r>
          </w:p>
          <w:p w:rsidR="00B54FC3" w:rsidRPr="00B65C94" w:rsidRDefault="00B54FC3" w:rsidP="00B65C94">
            <w:pPr>
              <w:numPr>
                <w:ilvl w:val="0"/>
                <w:numId w:val="13"/>
              </w:numPr>
              <w:autoSpaceDE w:val="0"/>
              <w:autoSpaceDN w:val="0"/>
              <w:adjustRightInd w:val="0"/>
              <w:ind w:left="328" w:hanging="283"/>
              <w:jc w:val="both"/>
              <w:rPr>
                <w:sz w:val="22"/>
                <w:szCs w:val="22"/>
              </w:rPr>
            </w:pPr>
            <w:r>
              <w:rPr>
                <w:sz w:val="22"/>
              </w:rPr>
              <w:t>Информацията, посочена в параграф 1, буква в), е организирана и достъпна по стандартизиран начин (вж. приложение III) и дава възможност за ефективно търсене и изтегляне. Информацията, посочена в параграф 1, се публикува до 6 месеца от датата на предоставяне на помощта или, за помощи под формата на данъчни предимства, до 1 година от датата, на която трябва да се подаде данъчната декларация, и е достъпна най-малко 10 години от датата, на която е предоставена помощта (параграф 4).</w:t>
            </w:r>
          </w:p>
          <w:p w:rsidR="00B54FC3" w:rsidRPr="00B54FC3" w:rsidRDefault="00B54FC3" w:rsidP="00B65C94">
            <w:pPr>
              <w:numPr>
                <w:ilvl w:val="0"/>
                <w:numId w:val="13"/>
              </w:numPr>
              <w:autoSpaceDE w:val="0"/>
              <w:autoSpaceDN w:val="0"/>
              <w:adjustRightInd w:val="0"/>
              <w:ind w:left="328" w:hanging="283"/>
              <w:jc w:val="both"/>
              <w:rPr>
                <w:b/>
                <w:sz w:val="22"/>
                <w:szCs w:val="22"/>
              </w:rPr>
            </w:pPr>
            <w:r>
              <w:rPr>
                <w:sz w:val="22"/>
              </w:rPr>
              <w:t>Държавите членки осигуряват съответствие с разпоредбите на настоящия член най-късно две години след влизане в сила на настоящия регламент (т.e. 1.7.2016 г.) (параграф 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54FC3" w:rsidRPr="002B692E" w:rsidRDefault="00B54FC3" w:rsidP="003E5D21">
            <w:pPr>
              <w:rPr>
                <w:sz w:val="22"/>
                <w:szCs w:val="22"/>
              </w:rPr>
            </w:pPr>
          </w:p>
        </w:tc>
      </w:tr>
    </w:tbl>
    <w:p w:rsidR="00B54FC3" w:rsidRDefault="00B54FC3" w:rsidP="008F4926">
      <w:pPr>
        <w:rPr>
          <w:b/>
          <w:sz w:val="22"/>
          <w:szCs w:val="22"/>
        </w:rPr>
      </w:pPr>
    </w:p>
    <w:p w:rsidR="007D461F" w:rsidRPr="00DE33C6" w:rsidRDefault="007D461F" w:rsidP="008F4926">
      <w:pPr>
        <w:rPr>
          <w:sz w:val="22"/>
          <w:szCs w:val="22"/>
        </w:rPr>
      </w:pPr>
      <w:r w:rsidRPr="00DE33C6">
        <w:rPr>
          <w:b/>
          <w:sz w:val="22"/>
          <w:szCs w:val="22"/>
        </w:rPr>
        <w:t>За определенията на понятията</w:t>
      </w:r>
      <w:r w:rsidRPr="00DE33C6">
        <w:rPr>
          <w:sz w:val="22"/>
          <w:szCs w:val="22"/>
        </w:rPr>
        <w:t>: член 2 (да се обърне внимание на новото определение на предприятие в затруднено положение).</w:t>
      </w:r>
    </w:p>
    <w:p w:rsidR="00D64EFF" w:rsidRPr="00DE33C6" w:rsidRDefault="00D64EFF" w:rsidP="008F4926">
      <w:pPr>
        <w:rPr>
          <w:sz w:val="22"/>
          <w:szCs w:val="22"/>
        </w:rPr>
      </w:pPr>
    </w:p>
    <w:p w:rsidR="007D461F" w:rsidRPr="00DE33C6" w:rsidRDefault="00B54FC3" w:rsidP="008F4926">
      <w:pPr>
        <w:rPr>
          <w:sz w:val="22"/>
          <w:szCs w:val="22"/>
        </w:rPr>
      </w:pPr>
      <w:r w:rsidRPr="00DE33C6">
        <w:rPr>
          <w:b/>
          <w:sz w:val="22"/>
          <w:szCs w:val="22"/>
        </w:rPr>
        <w:t>Докладване</w:t>
      </w:r>
      <w:r w:rsidRPr="00DE33C6">
        <w:rPr>
          <w:sz w:val="22"/>
          <w:szCs w:val="22"/>
        </w:rPr>
        <w:t>: член 11.</w:t>
      </w:r>
    </w:p>
    <w:p w:rsidR="007D461F" w:rsidRPr="00DE33C6" w:rsidRDefault="007D461F" w:rsidP="008F4926">
      <w:pPr>
        <w:rPr>
          <w:sz w:val="22"/>
          <w:szCs w:val="22"/>
        </w:rPr>
      </w:pPr>
      <w:r w:rsidRPr="00DE33C6">
        <w:rPr>
          <w:b/>
          <w:sz w:val="22"/>
          <w:szCs w:val="22"/>
        </w:rPr>
        <w:t>Контрол:</w:t>
      </w:r>
      <w:r w:rsidRPr="00DE33C6">
        <w:rPr>
          <w:sz w:val="22"/>
          <w:szCs w:val="22"/>
        </w:rPr>
        <w:t xml:space="preserve"> член 12.</w:t>
      </w:r>
    </w:p>
    <w:p w:rsidR="007D461F" w:rsidRPr="00DE33C6" w:rsidRDefault="00DD57E1" w:rsidP="008F4926">
      <w:pPr>
        <w:rPr>
          <w:sz w:val="22"/>
          <w:szCs w:val="22"/>
        </w:rPr>
      </w:pPr>
      <w:r w:rsidRPr="00DE33C6">
        <w:rPr>
          <w:b/>
          <w:sz w:val="22"/>
          <w:szCs w:val="22"/>
        </w:rPr>
        <w:t>Отмяна на груповото освобождаване</w:t>
      </w:r>
      <w:r w:rsidRPr="00DE33C6">
        <w:rPr>
          <w:sz w:val="22"/>
          <w:szCs w:val="22"/>
        </w:rPr>
        <w:t>: член 10.</w:t>
      </w:r>
    </w:p>
    <w:p w:rsidR="00F177AC" w:rsidRPr="00DE33C6" w:rsidRDefault="00F177AC" w:rsidP="008F4926">
      <w:pPr>
        <w:rPr>
          <w:sz w:val="22"/>
          <w:szCs w:val="22"/>
        </w:rPr>
      </w:pPr>
    </w:p>
    <w:p w:rsidR="00003D17" w:rsidRPr="00DE33C6" w:rsidRDefault="00003D17" w:rsidP="008F4926">
      <w:pPr>
        <w:rPr>
          <w:b/>
          <w:sz w:val="22"/>
          <w:szCs w:val="22"/>
          <w:u w:val="single"/>
        </w:rPr>
      </w:pPr>
      <w:r w:rsidRPr="00DE33C6">
        <w:rPr>
          <w:b/>
          <w:sz w:val="22"/>
          <w:szCs w:val="22"/>
          <w:u w:val="single"/>
        </w:rPr>
        <w:t>Б. Специални условия за помощите за отстраняване на щети, причинени от някои природни бедствия</w:t>
      </w:r>
      <w:r w:rsidRPr="00DE33C6">
        <w:rPr>
          <w:sz w:val="22"/>
          <w:szCs w:val="22"/>
          <w:u w:val="single"/>
        </w:rPr>
        <w:t xml:space="preserve"> (земетресения, лавини, свличания, наводнения, смерчове, урагани, вулканични изригвания и естествено възникнали горски пожари)</w:t>
      </w:r>
    </w:p>
    <w:p w:rsidR="00003D17" w:rsidRPr="008F4926" w:rsidRDefault="00003D17" w:rsidP="008F4926">
      <w:pPr>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895393" w:rsidRPr="008F4926" w:rsidTr="00895393">
        <w:trPr>
          <w:trHeight w:val="145"/>
        </w:trPr>
        <w:tc>
          <w:tcPr>
            <w:tcW w:w="2687" w:type="pct"/>
            <w:tcBorders>
              <w:bottom w:val="single" w:sz="4" w:space="0" w:color="auto"/>
            </w:tcBorders>
            <w:shd w:val="clear" w:color="auto" w:fill="333399"/>
          </w:tcPr>
          <w:p w:rsidR="00890C50" w:rsidRPr="008F4926" w:rsidRDefault="00890C50" w:rsidP="008F4926">
            <w:pPr>
              <w:ind w:left="360"/>
              <w:jc w:val="center"/>
              <w:rPr>
                <w:b/>
                <w:smallCaps/>
                <w:color w:val="FFFFFF"/>
                <w:sz w:val="22"/>
                <w:szCs w:val="22"/>
              </w:rPr>
            </w:pPr>
            <w:r>
              <w:rPr>
                <w:b/>
                <w:smallCaps/>
                <w:color w:val="FFFFFF"/>
                <w:sz w:val="22"/>
              </w:rPr>
              <w:t xml:space="preserve">Член 50 </w:t>
            </w:r>
          </w:p>
          <w:p w:rsidR="00BB080C" w:rsidRPr="008F4926" w:rsidRDefault="00B843F4" w:rsidP="008F4926">
            <w:pPr>
              <w:ind w:left="360"/>
              <w:jc w:val="center"/>
              <w:rPr>
                <w:b/>
                <w:smallCaps/>
                <w:color w:val="FFFFFF"/>
                <w:sz w:val="22"/>
                <w:szCs w:val="22"/>
              </w:rPr>
            </w:pPr>
            <w:r>
              <w:rPr>
                <w:b/>
                <w:smallCaps/>
                <w:color w:val="FFFFFF"/>
                <w:sz w:val="22"/>
              </w:rPr>
              <w:t>Помощи за отстраняване на щети, причинени от някои природни бедствия</w:t>
            </w:r>
          </w:p>
        </w:tc>
        <w:tc>
          <w:tcPr>
            <w:tcW w:w="2313" w:type="pct"/>
            <w:shd w:val="clear" w:color="auto" w:fill="333399"/>
          </w:tcPr>
          <w:p w:rsidR="00BB080C" w:rsidRPr="008F4926" w:rsidRDefault="00BB080C" w:rsidP="008F4926">
            <w:pPr>
              <w:jc w:val="center"/>
              <w:rPr>
                <w:b/>
                <w:smallCaps/>
                <w:color w:val="FFFFFF"/>
                <w:sz w:val="22"/>
                <w:szCs w:val="22"/>
              </w:rPr>
            </w:pPr>
            <w:r>
              <w:rPr>
                <w:b/>
                <w:smallCaps/>
                <w:color w:val="FFFFFF"/>
                <w:sz w:val="22"/>
              </w:rPr>
              <w:t>Проверка на съответствието (OK?)</w:t>
            </w:r>
          </w:p>
        </w:tc>
      </w:tr>
      <w:tr w:rsidR="00895393" w:rsidRPr="008F4926" w:rsidTr="00895393">
        <w:trPr>
          <w:trHeight w:val="850"/>
        </w:trPr>
        <w:tc>
          <w:tcPr>
            <w:tcW w:w="2687" w:type="pct"/>
            <w:shd w:val="clear" w:color="auto" w:fill="auto"/>
          </w:tcPr>
          <w:p w:rsidR="00890C50" w:rsidRPr="008F4926" w:rsidRDefault="00890C50" w:rsidP="00B65C94">
            <w:pPr>
              <w:numPr>
                <w:ilvl w:val="0"/>
                <w:numId w:val="7"/>
              </w:numPr>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0A19E8" w:rsidRPr="008F4926" w:rsidRDefault="00206484" w:rsidP="00B65C94">
            <w:pPr>
              <w:numPr>
                <w:ilvl w:val="0"/>
                <w:numId w:val="7"/>
              </w:numPr>
              <w:jc w:val="both"/>
              <w:rPr>
                <w:sz w:val="22"/>
                <w:szCs w:val="22"/>
              </w:rPr>
            </w:pPr>
            <w:r>
              <w:rPr>
                <w:sz w:val="22"/>
              </w:rPr>
              <w:t>Помощи се предоставят, ако са изпълнени следните условия (параграф 2):</w:t>
            </w:r>
          </w:p>
          <w:p w:rsidR="00BB080C" w:rsidRPr="008F4926" w:rsidRDefault="005D610E" w:rsidP="00132826">
            <w:pPr>
              <w:autoSpaceDE w:val="0"/>
              <w:autoSpaceDN w:val="0"/>
              <w:adjustRightInd w:val="0"/>
              <w:ind w:left="360"/>
              <w:jc w:val="both"/>
              <w:rPr>
                <w:sz w:val="22"/>
                <w:szCs w:val="22"/>
              </w:rPr>
            </w:pPr>
            <w:r>
              <w:rPr>
                <w:sz w:val="22"/>
              </w:rPr>
              <w:t>а)</w:t>
            </w:r>
            <w:r w:rsidRPr="005D610E">
              <w:rPr>
                <w:sz w:val="22"/>
              </w:rPr>
              <w:tab/>
            </w:r>
            <w:r w:rsidR="00206484">
              <w:rPr>
                <w:sz w:val="22"/>
              </w:rPr>
              <w:t xml:space="preserve">компетентните държавни органи на държавата членка официално са </w:t>
            </w:r>
            <w:r w:rsidRPr="005D610E">
              <w:rPr>
                <w:sz w:val="22"/>
              </w:rPr>
              <w:tab/>
            </w:r>
            <w:r w:rsidR="00206484">
              <w:rPr>
                <w:sz w:val="22"/>
              </w:rPr>
              <w:t xml:space="preserve">признали характера на събитието като </w:t>
            </w:r>
            <w:r w:rsidR="00206484">
              <w:rPr>
                <w:b/>
                <w:sz w:val="22"/>
              </w:rPr>
              <w:t>природно бедствие</w:t>
            </w:r>
            <w:r w:rsidR="00206484">
              <w:rPr>
                <w:sz w:val="22"/>
              </w:rPr>
              <w:t xml:space="preserve">;  </w:t>
            </w:r>
          </w:p>
          <w:p w:rsidR="00D637C2" w:rsidRPr="008F4926" w:rsidRDefault="005D610E" w:rsidP="00132826">
            <w:pPr>
              <w:autoSpaceDE w:val="0"/>
              <w:autoSpaceDN w:val="0"/>
              <w:adjustRightInd w:val="0"/>
              <w:ind w:left="360"/>
              <w:jc w:val="both"/>
              <w:rPr>
                <w:sz w:val="22"/>
                <w:szCs w:val="22"/>
              </w:rPr>
            </w:pPr>
            <w:r>
              <w:rPr>
                <w:sz w:val="22"/>
              </w:rPr>
              <w:t>б)</w:t>
            </w:r>
            <w:r w:rsidRPr="005D610E">
              <w:rPr>
                <w:sz w:val="22"/>
              </w:rPr>
              <w:tab/>
            </w:r>
            <w:r w:rsidR="00206484">
              <w:rPr>
                <w:sz w:val="22"/>
              </w:rPr>
              <w:t xml:space="preserve">налице е </w:t>
            </w:r>
            <w:r w:rsidR="00206484">
              <w:rPr>
                <w:b/>
                <w:sz w:val="22"/>
              </w:rPr>
              <w:t>пряка причинно-следствена връзка</w:t>
            </w:r>
            <w:r w:rsidR="00206484">
              <w:rPr>
                <w:sz w:val="22"/>
              </w:rPr>
              <w:t xml:space="preserve"> между природното </w:t>
            </w:r>
            <w:r w:rsidRPr="005D610E">
              <w:rPr>
                <w:sz w:val="22"/>
              </w:rPr>
              <w:tab/>
            </w:r>
            <w:r w:rsidR="00206484">
              <w:rPr>
                <w:sz w:val="22"/>
              </w:rPr>
              <w:t xml:space="preserve">бедствие и щетите, понесени от засегнатото предприятие. </w:t>
            </w:r>
          </w:p>
          <w:p w:rsidR="00BB080C" w:rsidRPr="008F4926" w:rsidRDefault="00206484" w:rsidP="00B65C94">
            <w:pPr>
              <w:numPr>
                <w:ilvl w:val="0"/>
                <w:numId w:val="8"/>
              </w:numPr>
              <w:autoSpaceDE w:val="0"/>
              <w:autoSpaceDN w:val="0"/>
              <w:adjustRightInd w:val="0"/>
              <w:jc w:val="both"/>
              <w:rPr>
                <w:sz w:val="22"/>
                <w:szCs w:val="22"/>
              </w:rPr>
            </w:pPr>
            <w:r>
              <w:rPr>
                <w:sz w:val="22"/>
              </w:rPr>
              <w:t xml:space="preserve">Схемите за помощ, свързани с конкретно природно бедствие, се въвеждат </w:t>
            </w:r>
            <w:r>
              <w:rPr>
                <w:b/>
                <w:sz w:val="22"/>
              </w:rPr>
              <w:t>най-късно</w:t>
            </w:r>
            <w:r>
              <w:rPr>
                <w:sz w:val="22"/>
              </w:rPr>
              <w:t xml:space="preserve"> </w:t>
            </w:r>
            <w:r>
              <w:rPr>
                <w:b/>
                <w:sz w:val="22"/>
              </w:rPr>
              <w:t>три години</w:t>
            </w:r>
            <w:r>
              <w:rPr>
                <w:sz w:val="22"/>
              </w:rPr>
              <w:t xml:space="preserve"> след като е настъпило събитието. Помощи по такива схеми се предоставят до четири години след настъпване на събитието (параграф 3).</w:t>
            </w:r>
          </w:p>
          <w:p w:rsidR="00206484" w:rsidRPr="008F4926" w:rsidRDefault="00206484" w:rsidP="00B65C94">
            <w:pPr>
              <w:numPr>
                <w:ilvl w:val="0"/>
                <w:numId w:val="8"/>
              </w:numPr>
              <w:autoSpaceDE w:val="0"/>
              <w:autoSpaceDN w:val="0"/>
              <w:adjustRightInd w:val="0"/>
              <w:jc w:val="both"/>
              <w:rPr>
                <w:sz w:val="22"/>
                <w:szCs w:val="22"/>
              </w:rPr>
            </w:pPr>
            <w:r>
              <w:rPr>
                <w:sz w:val="22"/>
              </w:rPr>
              <w:t xml:space="preserve">Допустимите </w:t>
            </w:r>
            <w:r>
              <w:rPr>
                <w:b/>
                <w:sz w:val="22"/>
              </w:rPr>
              <w:t>разходи</w:t>
            </w:r>
            <w:r>
              <w:rPr>
                <w:sz w:val="22"/>
              </w:rPr>
              <w:t xml:space="preserve"> са разходите, възникнали вследствие на нанесените щети като пряко последствие от природното бедствие, оценени от независим експерт, признат от компетентния национален орган или от застрахователна компания. Тези щети могат да включват материални щети, причинени на активи, например сгради, оборудване, машини, запаси, и загуби на приходи поради пълното или частично спиране на дейността за максимален период от шест месеца, считано от настъпването на бедствието. Изчисляването на </w:t>
            </w:r>
            <w:r>
              <w:rPr>
                <w:sz w:val="22"/>
              </w:rPr>
              <w:lastRenderedPageBreak/>
              <w:t>материалните щети се основава на разходите за ремонт или икономическата стойност на засегнатия актив преди бедствието. Те не надхвърлят разходите за ремонт или намалението на справедливата пазарна стойност, причинено от бедствието, т.е. разликата между стойността на имуществото непосредствено преди и веднага след бедствието. Загубата на приходи се изчислява въз основа на финансовите данни на засегнатото предприятие (печалба преди лихви и данъци (EBIT), амортизация и разходи за труд, свързани единствено с обекта, засегнат от природното бедствие) чрез сравнение на финансовите данни за шестте месеца след настъпване на бедствието със средната стойност за три години, избрани от петте години преди настъпването на бедствието (с изключение на двете години с най-добрия и с най-лошия финансов резултат) и се изчислява за същия шестмесечен период от годината. Щетите се изчисляват на равнището на отделния бенефициер (параграф 4).</w:t>
            </w:r>
          </w:p>
          <w:p w:rsidR="00206484" w:rsidRPr="008F4926" w:rsidRDefault="00206484" w:rsidP="00B65C94">
            <w:pPr>
              <w:numPr>
                <w:ilvl w:val="0"/>
                <w:numId w:val="8"/>
              </w:numPr>
              <w:autoSpaceDE w:val="0"/>
              <w:autoSpaceDN w:val="0"/>
              <w:adjustRightInd w:val="0"/>
              <w:jc w:val="both"/>
              <w:rPr>
                <w:sz w:val="22"/>
                <w:szCs w:val="22"/>
              </w:rPr>
            </w:pPr>
            <w:r>
              <w:rPr>
                <w:sz w:val="22"/>
              </w:rPr>
              <w:t xml:space="preserve">Помощите и всички други плащания, получени за компенсация на щетите, включително плащанията по застрахователни полици, не надхвърлят </w:t>
            </w:r>
            <w:r>
              <w:rPr>
                <w:b/>
                <w:sz w:val="22"/>
              </w:rPr>
              <w:t>100 % от допустимите разходи</w:t>
            </w:r>
            <w:r>
              <w:rPr>
                <w:sz w:val="22"/>
              </w:rPr>
              <w:t xml:space="preserve"> (параграф 5).</w:t>
            </w:r>
          </w:p>
        </w:tc>
        <w:tc>
          <w:tcPr>
            <w:tcW w:w="2313" w:type="pct"/>
            <w:shd w:val="clear" w:color="auto" w:fill="auto"/>
          </w:tcPr>
          <w:p w:rsidR="00BB080C" w:rsidRPr="008F4926" w:rsidRDefault="00BB080C" w:rsidP="008F4926">
            <w:pPr>
              <w:rPr>
                <w:sz w:val="22"/>
                <w:szCs w:val="22"/>
              </w:rPr>
            </w:pPr>
          </w:p>
        </w:tc>
      </w:tr>
    </w:tbl>
    <w:p w:rsidR="009F52DA" w:rsidRPr="008F4926" w:rsidRDefault="009F52DA" w:rsidP="008F4926">
      <w:pPr>
        <w:rPr>
          <w:b/>
          <w:sz w:val="22"/>
          <w:szCs w:val="22"/>
          <w:u w:val="single"/>
        </w:rPr>
      </w:pPr>
    </w:p>
    <w:p w:rsidR="00A67375" w:rsidRPr="008F4926" w:rsidRDefault="00A67375" w:rsidP="008F4926">
      <w:pPr>
        <w:rPr>
          <w:sz w:val="22"/>
          <w:szCs w:val="22"/>
        </w:rPr>
      </w:pPr>
    </w:p>
    <w:sectPr w:rsidR="00A67375" w:rsidRPr="008F4926" w:rsidSect="009455A9">
      <w:headerReference w:type="default" r:id="rId9"/>
      <w:footerReference w:type="default" r:id="rId10"/>
      <w:headerReference w:type="first" r:id="rId11"/>
      <w:footerReference w:type="first" r:id="rId12"/>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4F" w:rsidRDefault="003B674F">
      <w:r>
        <w:separator/>
      </w:r>
    </w:p>
  </w:endnote>
  <w:endnote w:type="continuationSeparator" w:id="0">
    <w:p w:rsidR="003B674F" w:rsidRDefault="003B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A9" w:rsidRDefault="009455A9">
    <w:pPr>
      <w:pStyle w:val="Footer"/>
      <w:jc w:val="right"/>
    </w:pPr>
    <w:r>
      <w:fldChar w:fldCharType="begin"/>
    </w:r>
    <w:r>
      <w:instrText xml:space="preserve"> PAGE   \* MERGEFORMAT </w:instrText>
    </w:r>
    <w:r>
      <w:fldChar w:fldCharType="separate"/>
    </w:r>
    <w:r w:rsidR="00D77DC4">
      <w:rPr>
        <w:noProof/>
      </w:rPr>
      <w:t>7</w:t>
    </w:r>
    <w:r>
      <w:rPr>
        <w:noProof/>
      </w:rPr>
      <w:fldChar w:fldCharType="end"/>
    </w:r>
  </w:p>
  <w:p w:rsidR="009455A9" w:rsidRDefault="00945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A9" w:rsidRPr="009455A9" w:rsidRDefault="009455A9">
    <w:pPr>
      <w:pStyle w:val="Footer"/>
    </w:pPr>
    <w:r>
      <w:t>юни 2015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4F" w:rsidRDefault="003B674F">
      <w:r>
        <w:separator/>
      </w:r>
    </w:p>
  </w:footnote>
  <w:footnote w:type="continuationSeparator" w:id="0">
    <w:p w:rsidR="003B674F" w:rsidRDefault="003B6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A9" w:rsidRDefault="008651A9" w:rsidP="008651A9">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8651A9" w:rsidRPr="008651A9" w:rsidRDefault="008651A9" w:rsidP="008651A9">
    <w:pPr>
      <w:autoSpaceDE w:val="0"/>
      <w:autoSpaceDN w:val="0"/>
      <w:ind w:right="-567"/>
      <w:jc w:val="both"/>
      <w:rPr>
        <w:noProof/>
        <w:snapToGrid w:val="0"/>
        <w:color w:val="000000"/>
      </w:rPr>
    </w:pPr>
  </w:p>
  <w:p w:rsidR="001D1789" w:rsidRDefault="004A30C5" w:rsidP="008651A9">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6F6285" w:rsidRPr="001D1789" w:rsidRDefault="006F6285" w:rsidP="008651A9">
    <w:pPr>
      <w:ind w:left="720"/>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A9" w:rsidRDefault="009455A9" w:rsidP="009455A9">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9455A9" w:rsidRPr="008651A9" w:rsidRDefault="009455A9" w:rsidP="009455A9">
    <w:pPr>
      <w:autoSpaceDE w:val="0"/>
      <w:autoSpaceDN w:val="0"/>
      <w:ind w:right="-567"/>
      <w:jc w:val="both"/>
      <w:rPr>
        <w:noProof/>
        <w:snapToGrid w:val="0"/>
        <w:color w:val="000000"/>
      </w:rPr>
    </w:pPr>
  </w:p>
  <w:p w:rsidR="009455A9" w:rsidRDefault="009455A9" w:rsidP="009455A9">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9455A9" w:rsidRDefault="00945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DB62E5"/>
    <w:multiLevelType w:val="hybridMultilevel"/>
    <w:tmpl w:val="E36665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4C574B1"/>
    <w:multiLevelType w:val="hybridMultilevel"/>
    <w:tmpl w:val="0F385CE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642CE"/>
    <w:multiLevelType w:val="hybridMultilevel"/>
    <w:tmpl w:val="8418E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20C27"/>
    <w:multiLevelType w:val="hybridMultilevel"/>
    <w:tmpl w:val="B5B6B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94446C"/>
    <w:multiLevelType w:val="hybridMultilevel"/>
    <w:tmpl w:val="65C6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447C67"/>
    <w:multiLevelType w:val="hybridMultilevel"/>
    <w:tmpl w:val="335CD2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9"/>
  </w:num>
  <w:num w:numId="3">
    <w:abstractNumId w:val="5"/>
  </w:num>
  <w:num w:numId="4">
    <w:abstractNumId w:val="2"/>
  </w:num>
  <w:num w:numId="5">
    <w:abstractNumId w:val="11"/>
  </w:num>
  <w:num w:numId="6">
    <w:abstractNumId w:val="0"/>
  </w:num>
  <w:num w:numId="7">
    <w:abstractNumId w:val="7"/>
  </w:num>
  <w:num w:numId="8">
    <w:abstractNumId w:val="4"/>
  </w:num>
  <w:num w:numId="9">
    <w:abstractNumId w:val="8"/>
  </w:num>
  <w:num w:numId="10">
    <w:abstractNumId w:val="14"/>
  </w:num>
  <w:num w:numId="11">
    <w:abstractNumId w:val="12"/>
  </w:num>
  <w:num w:numId="12">
    <w:abstractNumId w:val="3"/>
  </w:num>
  <w:num w:numId="13">
    <w:abstractNumId w:val="10"/>
  </w:num>
  <w:num w:numId="14">
    <w:abstractNumId w:val="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307FC"/>
    <w:rsid w:val="000372A4"/>
    <w:rsid w:val="0004275D"/>
    <w:rsid w:val="000442EC"/>
    <w:rsid w:val="00045763"/>
    <w:rsid w:val="00045C91"/>
    <w:rsid w:val="00047DB1"/>
    <w:rsid w:val="0005360B"/>
    <w:rsid w:val="000550A4"/>
    <w:rsid w:val="00066155"/>
    <w:rsid w:val="000729AA"/>
    <w:rsid w:val="0007495E"/>
    <w:rsid w:val="00085359"/>
    <w:rsid w:val="000934FB"/>
    <w:rsid w:val="000969AA"/>
    <w:rsid w:val="0009762A"/>
    <w:rsid w:val="000A0383"/>
    <w:rsid w:val="000A19E8"/>
    <w:rsid w:val="000A2636"/>
    <w:rsid w:val="000B0C62"/>
    <w:rsid w:val="000C51C2"/>
    <w:rsid w:val="000E10AB"/>
    <w:rsid w:val="000E4DAE"/>
    <w:rsid w:val="000F1FCD"/>
    <w:rsid w:val="000F2C08"/>
    <w:rsid w:val="000F75EF"/>
    <w:rsid w:val="0012665D"/>
    <w:rsid w:val="00132826"/>
    <w:rsid w:val="0013556A"/>
    <w:rsid w:val="00166821"/>
    <w:rsid w:val="00176DBE"/>
    <w:rsid w:val="00180EAA"/>
    <w:rsid w:val="001B05F1"/>
    <w:rsid w:val="001B4E1A"/>
    <w:rsid w:val="001C0C3A"/>
    <w:rsid w:val="001D0FD1"/>
    <w:rsid w:val="001D1789"/>
    <w:rsid w:val="001F48D0"/>
    <w:rsid w:val="00206484"/>
    <w:rsid w:val="0020708C"/>
    <w:rsid w:val="00221B84"/>
    <w:rsid w:val="00222F1C"/>
    <w:rsid w:val="00231553"/>
    <w:rsid w:val="002367CF"/>
    <w:rsid w:val="002427AF"/>
    <w:rsid w:val="002470A3"/>
    <w:rsid w:val="00275069"/>
    <w:rsid w:val="00291068"/>
    <w:rsid w:val="002920BD"/>
    <w:rsid w:val="00293736"/>
    <w:rsid w:val="002B3E57"/>
    <w:rsid w:val="002B4358"/>
    <w:rsid w:val="002B4CA9"/>
    <w:rsid w:val="002B54DF"/>
    <w:rsid w:val="002D4CC4"/>
    <w:rsid w:val="002E3BB9"/>
    <w:rsid w:val="00307511"/>
    <w:rsid w:val="00311BDC"/>
    <w:rsid w:val="00321646"/>
    <w:rsid w:val="00335128"/>
    <w:rsid w:val="00336EAF"/>
    <w:rsid w:val="00337965"/>
    <w:rsid w:val="00356870"/>
    <w:rsid w:val="00360F45"/>
    <w:rsid w:val="0037514B"/>
    <w:rsid w:val="0037615F"/>
    <w:rsid w:val="00397EC8"/>
    <w:rsid w:val="003A0DE8"/>
    <w:rsid w:val="003A34CB"/>
    <w:rsid w:val="003A70AE"/>
    <w:rsid w:val="003B674F"/>
    <w:rsid w:val="003B745C"/>
    <w:rsid w:val="003D41BA"/>
    <w:rsid w:val="003E0049"/>
    <w:rsid w:val="003E00A3"/>
    <w:rsid w:val="003E4E9D"/>
    <w:rsid w:val="003E5D21"/>
    <w:rsid w:val="003F62E6"/>
    <w:rsid w:val="003F7596"/>
    <w:rsid w:val="00400566"/>
    <w:rsid w:val="00421231"/>
    <w:rsid w:val="0042261F"/>
    <w:rsid w:val="0042377F"/>
    <w:rsid w:val="00424808"/>
    <w:rsid w:val="004412F5"/>
    <w:rsid w:val="004452B6"/>
    <w:rsid w:val="0045170D"/>
    <w:rsid w:val="004526C8"/>
    <w:rsid w:val="004618BB"/>
    <w:rsid w:val="00461A7C"/>
    <w:rsid w:val="004745B1"/>
    <w:rsid w:val="00481FD8"/>
    <w:rsid w:val="00485C2C"/>
    <w:rsid w:val="004A30C5"/>
    <w:rsid w:val="004B7EF7"/>
    <w:rsid w:val="004D0D76"/>
    <w:rsid w:val="004F201B"/>
    <w:rsid w:val="004F6330"/>
    <w:rsid w:val="00502676"/>
    <w:rsid w:val="00513516"/>
    <w:rsid w:val="00531692"/>
    <w:rsid w:val="00534552"/>
    <w:rsid w:val="005442C1"/>
    <w:rsid w:val="00554D95"/>
    <w:rsid w:val="00557283"/>
    <w:rsid w:val="00571298"/>
    <w:rsid w:val="005875CA"/>
    <w:rsid w:val="00590DF5"/>
    <w:rsid w:val="00593387"/>
    <w:rsid w:val="0059608C"/>
    <w:rsid w:val="005B598E"/>
    <w:rsid w:val="005D610E"/>
    <w:rsid w:val="005E23C6"/>
    <w:rsid w:val="005E7699"/>
    <w:rsid w:val="005F14EC"/>
    <w:rsid w:val="0061207C"/>
    <w:rsid w:val="0061345C"/>
    <w:rsid w:val="006149DC"/>
    <w:rsid w:val="006155AB"/>
    <w:rsid w:val="00620255"/>
    <w:rsid w:val="00624BDF"/>
    <w:rsid w:val="00626599"/>
    <w:rsid w:val="00634953"/>
    <w:rsid w:val="0063569E"/>
    <w:rsid w:val="00654CC5"/>
    <w:rsid w:val="00660ED7"/>
    <w:rsid w:val="00663D78"/>
    <w:rsid w:val="0066573A"/>
    <w:rsid w:val="0067010A"/>
    <w:rsid w:val="00674F49"/>
    <w:rsid w:val="00682CD5"/>
    <w:rsid w:val="00696155"/>
    <w:rsid w:val="006B1C81"/>
    <w:rsid w:val="006C6F39"/>
    <w:rsid w:val="006D137E"/>
    <w:rsid w:val="006D612B"/>
    <w:rsid w:val="006E1F72"/>
    <w:rsid w:val="006E53BD"/>
    <w:rsid w:val="006F6285"/>
    <w:rsid w:val="0070535F"/>
    <w:rsid w:val="00706E77"/>
    <w:rsid w:val="00761D21"/>
    <w:rsid w:val="0077008F"/>
    <w:rsid w:val="00773F1E"/>
    <w:rsid w:val="00783CA1"/>
    <w:rsid w:val="0079018B"/>
    <w:rsid w:val="007A2C05"/>
    <w:rsid w:val="007B0B68"/>
    <w:rsid w:val="007B6E14"/>
    <w:rsid w:val="007C4733"/>
    <w:rsid w:val="007D461F"/>
    <w:rsid w:val="007D6D47"/>
    <w:rsid w:val="007E0F18"/>
    <w:rsid w:val="007E1A2F"/>
    <w:rsid w:val="007F572A"/>
    <w:rsid w:val="00801247"/>
    <w:rsid w:val="00803129"/>
    <w:rsid w:val="00832DAB"/>
    <w:rsid w:val="00842CFA"/>
    <w:rsid w:val="008476F4"/>
    <w:rsid w:val="00852C3B"/>
    <w:rsid w:val="00856814"/>
    <w:rsid w:val="008651A9"/>
    <w:rsid w:val="00867005"/>
    <w:rsid w:val="00883DFF"/>
    <w:rsid w:val="00885BB0"/>
    <w:rsid w:val="00890C50"/>
    <w:rsid w:val="00895393"/>
    <w:rsid w:val="008A3AC1"/>
    <w:rsid w:val="008A3D6A"/>
    <w:rsid w:val="008B33CE"/>
    <w:rsid w:val="008C1495"/>
    <w:rsid w:val="008C5BB2"/>
    <w:rsid w:val="008D3D7C"/>
    <w:rsid w:val="008F28E4"/>
    <w:rsid w:val="008F3609"/>
    <w:rsid w:val="008F4926"/>
    <w:rsid w:val="008F661C"/>
    <w:rsid w:val="008F7532"/>
    <w:rsid w:val="008F79F4"/>
    <w:rsid w:val="00920585"/>
    <w:rsid w:val="0092466F"/>
    <w:rsid w:val="00931208"/>
    <w:rsid w:val="00944377"/>
    <w:rsid w:val="009455A9"/>
    <w:rsid w:val="00947544"/>
    <w:rsid w:val="0095164F"/>
    <w:rsid w:val="0095335C"/>
    <w:rsid w:val="00960792"/>
    <w:rsid w:val="00977A9A"/>
    <w:rsid w:val="00981AB9"/>
    <w:rsid w:val="00986F2B"/>
    <w:rsid w:val="00991733"/>
    <w:rsid w:val="00994B7C"/>
    <w:rsid w:val="00995DBB"/>
    <w:rsid w:val="009B0CDD"/>
    <w:rsid w:val="009C13FD"/>
    <w:rsid w:val="009E14D9"/>
    <w:rsid w:val="009F0902"/>
    <w:rsid w:val="009F52DA"/>
    <w:rsid w:val="00A21C2F"/>
    <w:rsid w:val="00A2428C"/>
    <w:rsid w:val="00A24976"/>
    <w:rsid w:val="00A404CF"/>
    <w:rsid w:val="00A415C5"/>
    <w:rsid w:val="00A43E85"/>
    <w:rsid w:val="00A46329"/>
    <w:rsid w:val="00A46614"/>
    <w:rsid w:val="00A6604D"/>
    <w:rsid w:val="00A67375"/>
    <w:rsid w:val="00A8428A"/>
    <w:rsid w:val="00A8762D"/>
    <w:rsid w:val="00AA37CE"/>
    <w:rsid w:val="00AA6116"/>
    <w:rsid w:val="00AA779E"/>
    <w:rsid w:val="00AB1D4E"/>
    <w:rsid w:val="00AB6771"/>
    <w:rsid w:val="00AB7838"/>
    <w:rsid w:val="00AB7FD4"/>
    <w:rsid w:val="00AC1C17"/>
    <w:rsid w:val="00AC39C3"/>
    <w:rsid w:val="00AC4476"/>
    <w:rsid w:val="00AD2B50"/>
    <w:rsid w:val="00AE1488"/>
    <w:rsid w:val="00AE213E"/>
    <w:rsid w:val="00AE56FC"/>
    <w:rsid w:val="00B10125"/>
    <w:rsid w:val="00B106C8"/>
    <w:rsid w:val="00B150CF"/>
    <w:rsid w:val="00B30D2A"/>
    <w:rsid w:val="00B4159B"/>
    <w:rsid w:val="00B46C58"/>
    <w:rsid w:val="00B54FC3"/>
    <w:rsid w:val="00B55BDD"/>
    <w:rsid w:val="00B65C94"/>
    <w:rsid w:val="00B70C80"/>
    <w:rsid w:val="00B843F4"/>
    <w:rsid w:val="00B87F87"/>
    <w:rsid w:val="00B94558"/>
    <w:rsid w:val="00BA710B"/>
    <w:rsid w:val="00BB06AE"/>
    <w:rsid w:val="00BB080C"/>
    <w:rsid w:val="00BB2CA7"/>
    <w:rsid w:val="00BC780C"/>
    <w:rsid w:val="00BD3F80"/>
    <w:rsid w:val="00BE0C41"/>
    <w:rsid w:val="00BE13EB"/>
    <w:rsid w:val="00BF4423"/>
    <w:rsid w:val="00C02DD6"/>
    <w:rsid w:val="00C032F5"/>
    <w:rsid w:val="00C12FD6"/>
    <w:rsid w:val="00C146A4"/>
    <w:rsid w:val="00C400E7"/>
    <w:rsid w:val="00C4593E"/>
    <w:rsid w:val="00C510B9"/>
    <w:rsid w:val="00C5368A"/>
    <w:rsid w:val="00C5535F"/>
    <w:rsid w:val="00C56922"/>
    <w:rsid w:val="00C615C4"/>
    <w:rsid w:val="00C62BFC"/>
    <w:rsid w:val="00C64EBE"/>
    <w:rsid w:val="00C71B8F"/>
    <w:rsid w:val="00C869CE"/>
    <w:rsid w:val="00C93DBE"/>
    <w:rsid w:val="00CA2F50"/>
    <w:rsid w:val="00CB12B9"/>
    <w:rsid w:val="00CB55F1"/>
    <w:rsid w:val="00CD5054"/>
    <w:rsid w:val="00CE25D0"/>
    <w:rsid w:val="00CE58B8"/>
    <w:rsid w:val="00CE73F7"/>
    <w:rsid w:val="00CF7085"/>
    <w:rsid w:val="00D177B0"/>
    <w:rsid w:val="00D30804"/>
    <w:rsid w:val="00D324A5"/>
    <w:rsid w:val="00D3640F"/>
    <w:rsid w:val="00D40C63"/>
    <w:rsid w:val="00D42B4C"/>
    <w:rsid w:val="00D432C8"/>
    <w:rsid w:val="00D435B4"/>
    <w:rsid w:val="00D44F34"/>
    <w:rsid w:val="00D51612"/>
    <w:rsid w:val="00D53F45"/>
    <w:rsid w:val="00D55F5A"/>
    <w:rsid w:val="00D637C2"/>
    <w:rsid w:val="00D64EFF"/>
    <w:rsid w:val="00D77DC4"/>
    <w:rsid w:val="00D807E0"/>
    <w:rsid w:val="00DA2706"/>
    <w:rsid w:val="00DB569B"/>
    <w:rsid w:val="00DD57E1"/>
    <w:rsid w:val="00DE1EEC"/>
    <w:rsid w:val="00DE2A41"/>
    <w:rsid w:val="00DE33C6"/>
    <w:rsid w:val="00DE6449"/>
    <w:rsid w:val="00DE6687"/>
    <w:rsid w:val="00DE7770"/>
    <w:rsid w:val="00E002A5"/>
    <w:rsid w:val="00E158B2"/>
    <w:rsid w:val="00E25E2E"/>
    <w:rsid w:val="00E351CB"/>
    <w:rsid w:val="00E37A77"/>
    <w:rsid w:val="00E57D5E"/>
    <w:rsid w:val="00E649EB"/>
    <w:rsid w:val="00E7165A"/>
    <w:rsid w:val="00E71C38"/>
    <w:rsid w:val="00EA0570"/>
    <w:rsid w:val="00EA5920"/>
    <w:rsid w:val="00EA594D"/>
    <w:rsid w:val="00EA7B22"/>
    <w:rsid w:val="00EC3C1E"/>
    <w:rsid w:val="00ED5B7F"/>
    <w:rsid w:val="00EE3961"/>
    <w:rsid w:val="00EE4443"/>
    <w:rsid w:val="00EF14CC"/>
    <w:rsid w:val="00EF4AEC"/>
    <w:rsid w:val="00EF7825"/>
    <w:rsid w:val="00F0671F"/>
    <w:rsid w:val="00F1470E"/>
    <w:rsid w:val="00F16C18"/>
    <w:rsid w:val="00F177AC"/>
    <w:rsid w:val="00F24F5B"/>
    <w:rsid w:val="00F26421"/>
    <w:rsid w:val="00F27FDA"/>
    <w:rsid w:val="00F35FBA"/>
    <w:rsid w:val="00F47FF9"/>
    <w:rsid w:val="00F50360"/>
    <w:rsid w:val="00F6027A"/>
    <w:rsid w:val="00F64838"/>
    <w:rsid w:val="00F83023"/>
    <w:rsid w:val="00F856AA"/>
    <w:rsid w:val="00F94125"/>
    <w:rsid w:val="00FA31F4"/>
    <w:rsid w:val="00FA329D"/>
    <w:rsid w:val="00FB1D1F"/>
    <w:rsid w:val="00FB4961"/>
    <w:rsid w:val="00FB562F"/>
    <w:rsid w:val="00FC2D31"/>
    <w:rsid w:val="00FC42D8"/>
    <w:rsid w:val="00FD2944"/>
    <w:rsid w:val="00FF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1D1789"/>
    <w:pPr>
      <w:tabs>
        <w:tab w:val="center" w:pos="4536"/>
        <w:tab w:val="right" w:pos="9072"/>
      </w:tabs>
    </w:pPr>
  </w:style>
  <w:style w:type="character" w:customStyle="1" w:styleId="HeaderChar">
    <w:name w:val="Header Char"/>
    <w:link w:val="Header"/>
    <w:uiPriority w:val="99"/>
    <w:rsid w:val="001D1789"/>
    <w:rPr>
      <w:sz w:val="24"/>
      <w:szCs w:val="24"/>
      <w:lang w:eastAsia="bg-BG"/>
    </w:rPr>
  </w:style>
  <w:style w:type="paragraph" w:styleId="Footer">
    <w:name w:val="footer"/>
    <w:basedOn w:val="Normal"/>
    <w:link w:val="FooterChar"/>
    <w:uiPriority w:val="99"/>
    <w:rsid w:val="001D1789"/>
    <w:pPr>
      <w:tabs>
        <w:tab w:val="center" w:pos="4536"/>
        <w:tab w:val="right" w:pos="9072"/>
      </w:tabs>
    </w:pPr>
  </w:style>
  <w:style w:type="character" w:customStyle="1" w:styleId="FooterChar">
    <w:name w:val="Footer Char"/>
    <w:link w:val="Footer"/>
    <w:uiPriority w:val="99"/>
    <w:rsid w:val="001D1789"/>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1D1789"/>
    <w:pPr>
      <w:tabs>
        <w:tab w:val="center" w:pos="4536"/>
        <w:tab w:val="right" w:pos="9072"/>
      </w:tabs>
    </w:pPr>
  </w:style>
  <w:style w:type="character" w:customStyle="1" w:styleId="HeaderChar">
    <w:name w:val="Header Char"/>
    <w:link w:val="Header"/>
    <w:uiPriority w:val="99"/>
    <w:rsid w:val="001D1789"/>
    <w:rPr>
      <w:sz w:val="24"/>
      <w:szCs w:val="24"/>
      <w:lang w:eastAsia="bg-BG"/>
    </w:rPr>
  </w:style>
  <w:style w:type="paragraph" w:styleId="Footer">
    <w:name w:val="footer"/>
    <w:basedOn w:val="Normal"/>
    <w:link w:val="FooterChar"/>
    <w:uiPriority w:val="99"/>
    <w:rsid w:val="001D1789"/>
    <w:pPr>
      <w:tabs>
        <w:tab w:val="center" w:pos="4536"/>
        <w:tab w:val="right" w:pos="9072"/>
      </w:tabs>
    </w:pPr>
  </w:style>
  <w:style w:type="character" w:customStyle="1" w:styleId="FooterChar">
    <w:name w:val="Footer Char"/>
    <w:link w:val="Footer"/>
    <w:uiPriority w:val="99"/>
    <w:rsid w:val="001D1789"/>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23654">
      <w:bodyDiv w:val="1"/>
      <w:marLeft w:val="0"/>
      <w:marRight w:val="0"/>
      <w:marTop w:val="0"/>
      <w:marBottom w:val="0"/>
      <w:divBdr>
        <w:top w:val="none" w:sz="0" w:space="0" w:color="auto"/>
        <w:left w:val="none" w:sz="0" w:space="0" w:color="auto"/>
        <w:bottom w:val="none" w:sz="0" w:space="0" w:color="auto"/>
        <w:right w:val="none" w:sz="0" w:space="0" w:color="auto"/>
      </w:divBdr>
    </w:div>
    <w:div w:id="1015503069">
      <w:bodyDiv w:val="1"/>
      <w:marLeft w:val="0"/>
      <w:marRight w:val="0"/>
      <w:marTop w:val="0"/>
      <w:marBottom w:val="0"/>
      <w:divBdr>
        <w:top w:val="none" w:sz="0" w:space="0" w:color="auto"/>
        <w:left w:val="none" w:sz="0" w:space="0" w:color="auto"/>
        <w:bottom w:val="none" w:sz="0" w:space="0" w:color="auto"/>
        <w:right w:val="none" w:sz="0" w:space="0" w:color="auto"/>
      </w:divBdr>
    </w:div>
    <w:div w:id="1915049889">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133F-1A7F-4951-B11E-DF876244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Ивелина Кирилова</cp:lastModifiedBy>
  <cp:revision>2</cp:revision>
  <cp:lastPrinted>2015-01-23T08:21:00Z</cp:lastPrinted>
  <dcterms:created xsi:type="dcterms:W3CDTF">2016-04-05T12:56:00Z</dcterms:created>
  <dcterms:modified xsi:type="dcterms:W3CDTF">2016-04-05T12:56:00Z</dcterms:modified>
</cp:coreProperties>
</file>